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ordWrap w:val="0"/>
        <w:spacing w:before="0" w:beforeAutospacing="0" w:after="0" w:afterAutospacing="0"/>
        <w:ind w:firstLine="442"/>
        <w:jc w:val="center"/>
        <w:rPr>
          <w:rFonts w:ascii="微软雅黑" w:hAnsi="微软雅黑" w:eastAsia="微软雅黑"/>
          <w:color w:val="000000"/>
          <w:sz w:val="27"/>
          <w:szCs w:val="27"/>
        </w:rPr>
      </w:pPr>
      <w:bookmarkStart w:id="0" w:name="_GoBack"/>
      <w:bookmarkEnd w:id="0"/>
      <w:r>
        <w:rPr>
          <w:rFonts w:hint="eastAsia"/>
          <w:b/>
          <w:bCs/>
          <w:color w:val="000000"/>
          <w:sz w:val="44"/>
          <w:szCs w:val="44"/>
        </w:rPr>
        <w:t>福建省泉州第一中学</w:t>
      </w:r>
    </w:p>
    <w:p>
      <w:pPr>
        <w:pStyle w:val="4"/>
        <w:wordWrap w:val="0"/>
        <w:spacing w:before="0" w:beforeAutospacing="0" w:after="0" w:afterAutospacing="0"/>
        <w:ind w:firstLine="442"/>
        <w:jc w:val="center"/>
        <w:rPr>
          <w:rFonts w:ascii="微软雅黑" w:hAnsi="微软雅黑" w:eastAsia="微软雅黑"/>
          <w:color w:val="000000"/>
          <w:sz w:val="27"/>
          <w:szCs w:val="27"/>
        </w:rPr>
      </w:pPr>
      <w:r>
        <w:rPr>
          <w:rFonts w:hint="eastAsia"/>
          <w:b/>
          <w:bCs/>
          <w:color w:val="000000"/>
          <w:sz w:val="44"/>
          <w:szCs w:val="44"/>
        </w:rPr>
        <w:t>(学府校区)中高考听力广播备用设备采购项目招标公告</w:t>
      </w:r>
    </w:p>
    <w:p>
      <w:pPr>
        <w:pStyle w:val="4"/>
        <w:wordWrap w:val="0"/>
        <w:spacing w:before="0" w:beforeAutospacing="0" w:after="0" w:afterAutospacing="0"/>
        <w:rPr>
          <w:rFonts w:ascii="微软雅黑" w:hAnsi="微软雅黑" w:eastAsia="微软雅黑"/>
          <w:color w:val="000000"/>
          <w:sz w:val="27"/>
          <w:szCs w:val="27"/>
        </w:rPr>
      </w:pPr>
      <w:r>
        <w:rPr>
          <w:rFonts w:hint="eastAsia"/>
          <w:color w:val="000000"/>
          <w:sz w:val="28"/>
          <w:szCs w:val="28"/>
        </w:rPr>
        <w:t>1.招标条件</w:t>
      </w:r>
    </w:p>
    <w:p>
      <w:pPr>
        <w:pStyle w:val="4"/>
        <w:wordWrap w:val="0"/>
        <w:spacing w:before="0" w:beforeAutospacing="0" w:after="0" w:afterAutospacing="0"/>
        <w:rPr>
          <w:rFonts w:ascii="微软雅黑" w:hAnsi="微软雅黑" w:eastAsia="微软雅黑"/>
          <w:color w:val="000000"/>
          <w:sz w:val="27"/>
          <w:szCs w:val="27"/>
        </w:rPr>
      </w:pPr>
      <w:r>
        <w:rPr>
          <w:rFonts w:hint="eastAsia"/>
          <w:color w:val="000000"/>
          <w:sz w:val="28"/>
          <w:szCs w:val="28"/>
        </w:rPr>
        <w:t>  </w:t>
      </w:r>
      <w:r>
        <w:rPr>
          <w:rFonts w:hint="eastAsia"/>
          <w:color w:val="000000"/>
          <w:sz w:val="28"/>
          <w:szCs w:val="28"/>
          <w:u w:val="single"/>
        </w:rPr>
        <w:t>福建省泉州第一中学(学府校区)中高考听力广播备用设备采购项目</w:t>
      </w:r>
      <w:r>
        <w:rPr>
          <w:rFonts w:hint="eastAsia"/>
          <w:color w:val="000000"/>
          <w:sz w:val="28"/>
          <w:szCs w:val="28"/>
        </w:rPr>
        <w:t>已经校务会研究同意实施。目前已具备供应商招标条件，现就供应商进行招标，招标人为福建省泉州第一中学。</w:t>
      </w:r>
    </w:p>
    <w:p>
      <w:pPr>
        <w:pStyle w:val="4"/>
        <w:wordWrap w:val="0"/>
        <w:spacing w:before="0" w:beforeAutospacing="0" w:after="0" w:afterAutospacing="0"/>
        <w:rPr>
          <w:rFonts w:ascii="微软雅黑" w:hAnsi="微软雅黑" w:eastAsia="微软雅黑"/>
          <w:color w:val="000000"/>
          <w:sz w:val="27"/>
          <w:szCs w:val="27"/>
        </w:rPr>
      </w:pPr>
      <w:r>
        <w:rPr>
          <w:rFonts w:hint="eastAsia"/>
          <w:color w:val="000000"/>
          <w:sz w:val="28"/>
          <w:szCs w:val="28"/>
        </w:rPr>
        <w:t>2.施工项目概况与招标范围</w:t>
      </w:r>
    </w:p>
    <w:p>
      <w:pPr>
        <w:pStyle w:val="4"/>
        <w:wordWrap w:val="0"/>
        <w:spacing w:before="0" w:beforeAutospacing="0" w:after="0" w:afterAutospacing="0"/>
        <w:ind w:firstLine="560"/>
        <w:rPr>
          <w:rFonts w:ascii="微软雅黑" w:hAnsi="微软雅黑" w:eastAsia="微软雅黑"/>
          <w:color w:val="000000"/>
          <w:sz w:val="27"/>
          <w:szCs w:val="27"/>
        </w:rPr>
      </w:pPr>
      <w:r>
        <w:rPr>
          <w:rFonts w:hint="eastAsia"/>
          <w:color w:val="000000"/>
          <w:sz w:val="28"/>
          <w:szCs w:val="28"/>
        </w:rPr>
        <w:t>2.1招标人：</w:t>
      </w:r>
      <w:r>
        <w:rPr>
          <w:rFonts w:hint="eastAsia"/>
          <w:color w:val="000000"/>
          <w:sz w:val="28"/>
          <w:szCs w:val="28"/>
          <w:u w:val="single"/>
        </w:rPr>
        <w:t>福建省泉州第一中学</w:t>
      </w:r>
      <w:r>
        <w:rPr>
          <w:rFonts w:hint="eastAsia"/>
          <w:color w:val="000000"/>
          <w:sz w:val="28"/>
          <w:szCs w:val="28"/>
        </w:rPr>
        <w:t>  </w:t>
      </w:r>
    </w:p>
    <w:p>
      <w:pPr>
        <w:pStyle w:val="4"/>
        <w:wordWrap w:val="0"/>
        <w:spacing w:before="0" w:beforeAutospacing="0" w:after="0" w:afterAutospacing="0"/>
        <w:ind w:firstLine="560"/>
        <w:rPr>
          <w:rFonts w:ascii="微软雅黑" w:hAnsi="微软雅黑" w:eastAsia="微软雅黑"/>
          <w:color w:val="000000"/>
          <w:sz w:val="27"/>
          <w:szCs w:val="27"/>
        </w:rPr>
      </w:pPr>
      <w:r>
        <w:rPr>
          <w:rFonts w:hint="eastAsia"/>
          <w:color w:val="000000"/>
          <w:sz w:val="28"/>
          <w:szCs w:val="28"/>
        </w:rPr>
        <w:t>2.2项目名称：</w:t>
      </w:r>
      <w:r>
        <w:rPr>
          <w:rFonts w:hint="eastAsia"/>
          <w:color w:val="000000"/>
          <w:sz w:val="28"/>
          <w:szCs w:val="28"/>
          <w:u w:val="single"/>
        </w:rPr>
        <w:t>福建省泉州第一中学(学府校区)中高考听力广播备用设备采购</w:t>
      </w:r>
    </w:p>
    <w:p>
      <w:pPr>
        <w:pStyle w:val="4"/>
        <w:wordWrap w:val="0"/>
        <w:spacing w:before="0" w:beforeAutospacing="0" w:after="0" w:afterAutospacing="0"/>
        <w:ind w:firstLine="560"/>
        <w:rPr>
          <w:rFonts w:ascii="微软雅黑" w:hAnsi="微软雅黑" w:eastAsia="微软雅黑"/>
          <w:color w:val="000000"/>
          <w:sz w:val="27"/>
          <w:szCs w:val="27"/>
        </w:rPr>
      </w:pPr>
      <w:r>
        <w:rPr>
          <w:rFonts w:hint="eastAsia"/>
          <w:color w:val="000000"/>
          <w:sz w:val="28"/>
          <w:szCs w:val="28"/>
        </w:rPr>
        <w:t>2.3项目实施地点：</w:t>
      </w:r>
      <w:r>
        <w:rPr>
          <w:rFonts w:hint="eastAsia"/>
          <w:color w:val="000000"/>
          <w:sz w:val="28"/>
          <w:szCs w:val="28"/>
          <w:u w:val="single"/>
        </w:rPr>
        <w:t>泉州第一中学学府校区</w:t>
      </w:r>
    </w:p>
    <w:p>
      <w:pPr>
        <w:pStyle w:val="4"/>
        <w:wordWrap w:val="0"/>
        <w:spacing w:before="0" w:beforeAutospacing="0" w:after="0" w:afterAutospacing="0"/>
        <w:ind w:firstLine="560"/>
        <w:rPr>
          <w:rFonts w:ascii="微软雅黑" w:hAnsi="微软雅黑" w:eastAsia="微软雅黑"/>
          <w:color w:val="000000"/>
          <w:sz w:val="27"/>
          <w:szCs w:val="27"/>
        </w:rPr>
      </w:pPr>
      <w:r>
        <w:rPr>
          <w:rFonts w:hint="eastAsia"/>
          <w:color w:val="000000"/>
          <w:sz w:val="28"/>
          <w:szCs w:val="28"/>
        </w:rPr>
        <w:t>2.4项目内容：见附件</w:t>
      </w:r>
    </w:p>
    <w:p>
      <w:pPr>
        <w:pStyle w:val="4"/>
        <w:wordWrap w:val="0"/>
        <w:spacing w:before="0" w:beforeAutospacing="0" w:after="0" w:afterAutospacing="0"/>
        <w:ind w:firstLine="560"/>
        <w:rPr>
          <w:rFonts w:ascii="微软雅黑" w:hAnsi="微软雅黑" w:eastAsia="微软雅黑"/>
          <w:color w:val="000000"/>
          <w:sz w:val="27"/>
          <w:szCs w:val="27"/>
        </w:rPr>
      </w:pPr>
      <w:r>
        <w:rPr>
          <w:rFonts w:hint="eastAsia"/>
          <w:color w:val="000000"/>
          <w:sz w:val="28"/>
          <w:szCs w:val="28"/>
        </w:rPr>
        <w:t>2.5项目最高控制价：</w:t>
      </w:r>
      <w:r>
        <w:rPr>
          <w:rFonts w:hint="eastAsia"/>
          <w:color w:val="000000"/>
          <w:sz w:val="28"/>
          <w:szCs w:val="28"/>
          <w:u w:val="single"/>
        </w:rPr>
        <w:t>5.8万元</w:t>
      </w:r>
    </w:p>
    <w:p>
      <w:pPr>
        <w:pStyle w:val="4"/>
        <w:wordWrap w:val="0"/>
        <w:spacing w:before="0" w:beforeAutospacing="0" w:after="0" w:afterAutospacing="0"/>
        <w:ind w:firstLine="560"/>
        <w:rPr>
          <w:rFonts w:ascii="微软雅黑" w:hAnsi="微软雅黑" w:eastAsia="微软雅黑"/>
          <w:color w:val="000000"/>
          <w:sz w:val="27"/>
          <w:szCs w:val="27"/>
        </w:rPr>
      </w:pPr>
      <w:r>
        <w:rPr>
          <w:rFonts w:hint="eastAsia"/>
          <w:color w:val="000000"/>
          <w:sz w:val="28"/>
          <w:szCs w:val="28"/>
        </w:rPr>
        <w:t>2.6供货时间：签订合同后</w:t>
      </w:r>
      <w:r>
        <w:rPr>
          <w:rFonts w:hint="eastAsia"/>
          <w:color w:val="000000"/>
          <w:sz w:val="28"/>
          <w:szCs w:val="28"/>
          <w:u w:val="single"/>
        </w:rPr>
        <w:t>12天</w:t>
      </w:r>
    </w:p>
    <w:p>
      <w:pPr>
        <w:pStyle w:val="4"/>
        <w:wordWrap w:val="0"/>
        <w:spacing w:before="0" w:beforeAutospacing="0" w:after="0" w:afterAutospacing="0"/>
        <w:rPr>
          <w:rFonts w:ascii="微软雅黑" w:hAnsi="微软雅黑" w:eastAsia="微软雅黑"/>
          <w:color w:val="000000"/>
          <w:sz w:val="27"/>
          <w:szCs w:val="27"/>
        </w:rPr>
      </w:pPr>
      <w:r>
        <w:rPr>
          <w:rFonts w:hint="eastAsia"/>
          <w:color w:val="000000"/>
          <w:sz w:val="28"/>
          <w:szCs w:val="28"/>
        </w:rPr>
        <w:t>3.评标办法</w:t>
      </w:r>
    </w:p>
    <w:p>
      <w:pPr>
        <w:pStyle w:val="4"/>
        <w:wordWrap w:val="0"/>
        <w:spacing w:before="0" w:beforeAutospacing="0" w:after="0" w:afterAutospacing="0"/>
        <w:ind w:firstLine="560"/>
        <w:rPr>
          <w:rFonts w:ascii="微软雅黑" w:hAnsi="微软雅黑" w:eastAsia="微软雅黑"/>
          <w:color w:val="000000"/>
          <w:sz w:val="27"/>
          <w:szCs w:val="27"/>
        </w:rPr>
      </w:pPr>
      <w:r>
        <w:rPr>
          <w:rFonts w:hint="eastAsia"/>
          <w:color w:val="000000"/>
          <w:sz w:val="28"/>
          <w:szCs w:val="28"/>
        </w:rPr>
        <w:t>3.1投标人资格：本招标项目要求投标人须具备有效的</w:t>
      </w:r>
      <w:r>
        <w:rPr>
          <w:rFonts w:hint="eastAsia"/>
          <w:color w:val="000000"/>
          <w:sz w:val="28"/>
          <w:szCs w:val="28"/>
          <w:u w:val="single"/>
        </w:rPr>
        <w:t>教学仪器设备</w:t>
      </w:r>
      <w:r>
        <w:rPr>
          <w:rFonts w:hint="eastAsia"/>
          <w:color w:val="000000"/>
          <w:sz w:val="28"/>
          <w:szCs w:val="28"/>
        </w:rPr>
        <w:t>经营资质。</w:t>
      </w:r>
    </w:p>
    <w:p>
      <w:pPr>
        <w:pStyle w:val="4"/>
        <w:wordWrap w:val="0"/>
        <w:spacing w:before="0" w:beforeAutospacing="0" w:after="0" w:afterAutospacing="0"/>
        <w:ind w:firstLine="560"/>
        <w:rPr>
          <w:rFonts w:ascii="微软雅黑" w:hAnsi="微软雅黑" w:eastAsia="微软雅黑"/>
          <w:color w:val="000000"/>
          <w:sz w:val="27"/>
          <w:szCs w:val="27"/>
        </w:rPr>
      </w:pPr>
      <w:r>
        <w:rPr>
          <w:rFonts w:hint="eastAsia"/>
          <w:color w:val="000000"/>
          <w:sz w:val="28"/>
          <w:szCs w:val="28"/>
        </w:rPr>
        <w:t>3.2经评审最低价方式确定中标候选人，如出现并列，以抽签形式确定中标候选人。  </w:t>
      </w:r>
    </w:p>
    <w:p>
      <w:pPr>
        <w:pStyle w:val="4"/>
        <w:wordWrap w:val="0"/>
        <w:spacing w:before="0" w:beforeAutospacing="0" w:after="0" w:afterAutospacing="0"/>
        <w:rPr>
          <w:rFonts w:ascii="微软雅黑" w:hAnsi="微软雅黑" w:eastAsia="微软雅黑"/>
          <w:color w:val="000000"/>
          <w:sz w:val="27"/>
          <w:szCs w:val="27"/>
        </w:rPr>
      </w:pPr>
      <w:r>
        <w:rPr>
          <w:rFonts w:hint="eastAsia"/>
          <w:color w:val="000000"/>
          <w:sz w:val="28"/>
          <w:szCs w:val="28"/>
        </w:rPr>
        <w:t>4.投标文件的递交及开标</w:t>
      </w:r>
    </w:p>
    <w:p>
      <w:pPr>
        <w:pStyle w:val="4"/>
        <w:wordWrap w:val="0"/>
        <w:spacing w:before="0" w:beforeAutospacing="0" w:after="0" w:afterAutospacing="0"/>
        <w:ind w:left="839" w:hanging="280"/>
        <w:rPr>
          <w:rFonts w:ascii="微软雅黑" w:hAnsi="微软雅黑" w:eastAsia="微软雅黑"/>
          <w:color w:val="000000"/>
          <w:sz w:val="27"/>
          <w:szCs w:val="27"/>
        </w:rPr>
      </w:pPr>
      <w:r>
        <w:rPr>
          <w:rFonts w:hint="eastAsia"/>
          <w:color w:val="000000"/>
          <w:sz w:val="28"/>
          <w:szCs w:val="28"/>
        </w:rPr>
        <w:t>4.1投标文件递交的截止时间（即投标截止时间，下同）及开标时间为2022年4月29日17时，地点为：泉州第一中学学府校区5楼会议室。</w:t>
      </w:r>
    </w:p>
    <w:p>
      <w:pPr>
        <w:pStyle w:val="4"/>
        <w:wordWrap w:val="0"/>
        <w:spacing w:before="0" w:beforeAutospacing="0" w:after="0" w:afterAutospacing="0"/>
        <w:ind w:firstLine="560"/>
        <w:rPr>
          <w:rFonts w:ascii="微软雅黑" w:hAnsi="微软雅黑" w:eastAsia="微软雅黑"/>
          <w:color w:val="000000"/>
          <w:sz w:val="27"/>
          <w:szCs w:val="27"/>
        </w:rPr>
      </w:pPr>
      <w:r>
        <w:rPr>
          <w:rFonts w:hint="eastAsia"/>
          <w:color w:val="000000"/>
          <w:sz w:val="28"/>
          <w:szCs w:val="28"/>
        </w:rPr>
        <w:t>4.2投标文件需包括：公司资质复印件，投标人项目</w:t>
      </w:r>
      <w:r>
        <w:rPr>
          <w:rFonts w:hint="eastAsia"/>
          <w:b/>
          <w:bCs/>
          <w:color w:val="000000"/>
          <w:sz w:val="28"/>
          <w:szCs w:val="28"/>
        </w:rPr>
        <w:t>总报价</w:t>
      </w:r>
      <w:r>
        <w:rPr>
          <w:rFonts w:hint="eastAsia"/>
          <w:color w:val="000000"/>
          <w:sz w:val="28"/>
          <w:szCs w:val="28"/>
        </w:rPr>
        <w:t>及投标人委托书，现场勘察证明</w:t>
      </w:r>
      <w:r>
        <w:rPr>
          <w:rFonts w:hint="eastAsia"/>
          <w:color w:val="000000"/>
          <w:sz w:val="28"/>
          <w:szCs w:val="28"/>
          <w:lang w:val="en-US" w:eastAsia="zh-CN"/>
        </w:rPr>
        <w:t>(经学校相关人员签字）</w:t>
      </w:r>
      <w:r>
        <w:rPr>
          <w:rFonts w:hint="eastAsia"/>
          <w:color w:val="000000"/>
          <w:sz w:val="28"/>
          <w:szCs w:val="28"/>
        </w:rPr>
        <w:t>。逾期送达或者未送达指定地点或者未按要求密封或者加写标记的投标文件招标人不予受理。</w:t>
      </w:r>
    </w:p>
    <w:p>
      <w:pPr>
        <w:pStyle w:val="4"/>
        <w:wordWrap w:val="0"/>
        <w:spacing w:before="0" w:beforeAutospacing="0" w:after="0" w:afterAutospacing="0"/>
        <w:rPr>
          <w:color w:val="000000"/>
          <w:sz w:val="28"/>
          <w:szCs w:val="28"/>
        </w:rPr>
      </w:pPr>
      <w:r>
        <w:rPr>
          <w:rFonts w:hint="eastAsia"/>
          <w:color w:val="000000"/>
          <w:sz w:val="28"/>
          <w:szCs w:val="28"/>
        </w:rPr>
        <w:t>5.现场勘察时间及联系方式</w:t>
      </w:r>
    </w:p>
    <w:p>
      <w:pPr>
        <w:pStyle w:val="4"/>
        <w:wordWrap w:val="0"/>
        <w:spacing w:before="0" w:beforeAutospacing="0" w:after="0" w:afterAutospacing="0"/>
        <w:ind w:firstLine="560" w:firstLineChars="200"/>
        <w:rPr>
          <w:rFonts w:ascii="微软雅黑" w:hAnsi="微软雅黑" w:eastAsia="微软雅黑"/>
          <w:color w:val="000000"/>
          <w:sz w:val="27"/>
          <w:szCs w:val="27"/>
        </w:rPr>
      </w:pPr>
      <w:r>
        <w:rPr>
          <w:rFonts w:hint="eastAsia"/>
          <w:color w:val="000000"/>
          <w:sz w:val="28"/>
          <w:szCs w:val="28"/>
        </w:rPr>
        <w:t>5.1现场勘察时间：2022年4月28日15时</w:t>
      </w:r>
      <w:r>
        <w:rPr>
          <w:rFonts w:hint="eastAsia"/>
          <w:color w:val="000000"/>
          <w:sz w:val="28"/>
          <w:szCs w:val="28"/>
          <w:lang w:eastAsia="zh-CN"/>
        </w:rPr>
        <w:t>至</w:t>
      </w:r>
      <w:r>
        <w:rPr>
          <w:rFonts w:hint="eastAsia"/>
          <w:color w:val="000000"/>
          <w:sz w:val="28"/>
          <w:szCs w:val="28"/>
          <w:lang w:val="en-US" w:eastAsia="zh-CN"/>
        </w:rPr>
        <w:t>15时30分</w:t>
      </w:r>
      <w:r>
        <w:rPr>
          <w:rFonts w:hint="eastAsia"/>
          <w:color w:val="000000"/>
          <w:sz w:val="28"/>
          <w:szCs w:val="28"/>
        </w:rPr>
        <w:t> </w:t>
      </w:r>
    </w:p>
    <w:p>
      <w:pPr>
        <w:pStyle w:val="4"/>
        <w:wordWrap w:val="0"/>
        <w:spacing w:before="0" w:beforeAutospacing="0" w:after="0" w:afterAutospacing="0"/>
        <w:rPr>
          <w:color w:val="000000"/>
          <w:sz w:val="28"/>
          <w:szCs w:val="28"/>
        </w:rPr>
      </w:pPr>
      <w:r>
        <w:rPr>
          <w:rFonts w:hint="eastAsia"/>
          <w:color w:val="000000"/>
          <w:sz w:val="28"/>
          <w:szCs w:val="28"/>
        </w:rPr>
        <w:t>联系人：郭老师：18150602255  唐老师  13808533779  </w:t>
      </w:r>
    </w:p>
    <w:p>
      <w:pPr>
        <w:pStyle w:val="4"/>
        <w:wordWrap w:val="0"/>
        <w:spacing w:before="0" w:beforeAutospacing="0" w:after="0" w:afterAutospacing="0"/>
        <w:ind w:firstLine="1120" w:firstLineChars="400"/>
        <w:rPr>
          <w:rFonts w:ascii="微软雅黑" w:hAnsi="微软雅黑" w:eastAsia="微软雅黑"/>
          <w:color w:val="000000"/>
          <w:sz w:val="27"/>
          <w:szCs w:val="27"/>
        </w:rPr>
      </w:pPr>
      <w:r>
        <w:rPr>
          <w:rFonts w:hint="eastAsia"/>
          <w:color w:val="000000"/>
          <w:sz w:val="28"/>
          <w:szCs w:val="28"/>
        </w:rPr>
        <w:t>蔡老师 18159278798</w:t>
      </w:r>
    </w:p>
    <w:p>
      <w:pPr>
        <w:pStyle w:val="4"/>
        <w:spacing w:before="0" w:beforeAutospacing="0" w:after="0" w:afterAutospacing="0"/>
        <w:rPr>
          <w:rFonts w:ascii="微软雅黑" w:hAnsi="微软雅黑" w:eastAsia="微软雅黑"/>
          <w:color w:val="000000"/>
          <w:sz w:val="27"/>
          <w:szCs w:val="27"/>
        </w:rPr>
      </w:pPr>
      <w:r>
        <w:rPr>
          <w:rFonts w:ascii="Calibri" w:hAnsi="Calibri" w:eastAsia="微软雅黑"/>
          <w:b/>
          <w:bCs/>
          <w:color w:val="000000"/>
          <w:sz w:val="36"/>
          <w:szCs w:val="36"/>
        </w:rPr>
        <w:t> </w:t>
      </w:r>
    </w:p>
    <w:p>
      <w:pPr>
        <w:pStyle w:val="4"/>
        <w:spacing w:before="0" w:beforeAutospacing="0" w:after="0" w:afterAutospacing="0"/>
        <w:rPr>
          <w:rFonts w:ascii="微软雅黑" w:hAnsi="微软雅黑" w:eastAsia="微软雅黑"/>
          <w:color w:val="000000"/>
          <w:sz w:val="27"/>
          <w:szCs w:val="27"/>
        </w:rPr>
      </w:pPr>
      <w:r>
        <w:rPr>
          <w:rFonts w:ascii="Calibri" w:hAnsi="Calibri" w:eastAsia="微软雅黑"/>
          <w:b/>
          <w:bCs/>
          <w:color w:val="000000"/>
          <w:sz w:val="36"/>
          <w:szCs w:val="36"/>
        </w:rPr>
        <w:t> </w:t>
      </w:r>
    </w:p>
    <w:p>
      <w:pPr>
        <w:pStyle w:val="4"/>
        <w:spacing w:before="0" w:beforeAutospacing="0" w:after="0" w:afterAutospacing="0"/>
        <w:rPr>
          <w:rFonts w:ascii="微软雅黑" w:hAnsi="微软雅黑" w:eastAsia="微软雅黑"/>
          <w:color w:val="000000"/>
          <w:sz w:val="27"/>
          <w:szCs w:val="27"/>
        </w:rPr>
      </w:pPr>
      <w:r>
        <w:rPr>
          <w:rFonts w:ascii="Calibri" w:hAnsi="Calibri" w:eastAsia="微软雅黑"/>
          <w:b/>
          <w:bCs/>
          <w:color w:val="000000"/>
          <w:sz w:val="36"/>
          <w:szCs w:val="36"/>
        </w:rPr>
        <w:t> </w:t>
      </w:r>
    </w:p>
    <w:p>
      <w:pPr>
        <w:pStyle w:val="4"/>
        <w:spacing w:before="0" w:beforeAutospacing="0" w:after="0" w:afterAutospacing="0"/>
        <w:rPr>
          <w:rFonts w:ascii="微软雅黑" w:hAnsi="微软雅黑" w:eastAsia="微软雅黑"/>
          <w:color w:val="000000"/>
          <w:sz w:val="27"/>
          <w:szCs w:val="27"/>
        </w:rPr>
      </w:pPr>
      <w:r>
        <w:rPr>
          <w:rFonts w:ascii="Calibri" w:hAnsi="Calibri" w:eastAsia="微软雅黑"/>
          <w:b/>
          <w:bCs/>
          <w:color w:val="000000"/>
          <w:sz w:val="36"/>
          <w:szCs w:val="36"/>
        </w:rPr>
        <w:t> </w:t>
      </w:r>
    </w:p>
    <w:p>
      <w:pPr>
        <w:pStyle w:val="4"/>
        <w:spacing w:before="0" w:beforeAutospacing="0" w:after="0" w:afterAutospacing="0"/>
        <w:jc w:val="right"/>
        <w:rPr>
          <w:rFonts w:ascii="微软雅黑" w:hAnsi="微软雅黑" w:eastAsia="微软雅黑"/>
          <w:color w:val="000000"/>
          <w:sz w:val="27"/>
          <w:szCs w:val="27"/>
        </w:rPr>
      </w:pPr>
      <w:r>
        <w:rPr>
          <w:rFonts w:ascii="Calibri" w:hAnsi="Calibri" w:eastAsia="微软雅黑"/>
          <w:b/>
          <w:bCs/>
          <w:color w:val="000000"/>
          <w:sz w:val="36"/>
          <w:szCs w:val="36"/>
        </w:rPr>
        <w:t> </w:t>
      </w:r>
    </w:p>
    <w:p>
      <w:pPr>
        <w:pStyle w:val="4"/>
        <w:spacing w:before="0" w:beforeAutospacing="0" w:after="0" w:afterAutospacing="0"/>
        <w:jc w:val="right"/>
        <w:rPr>
          <w:rFonts w:ascii="微软雅黑" w:hAnsi="微软雅黑" w:eastAsia="微软雅黑"/>
          <w:color w:val="000000"/>
          <w:sz w:val="27"/>
          <w:szCs w:val="27"/>
        </w:rPr>
      </w:pPr>
      <w:r>
        <w:rPr>
          <w:rFonts w:ascii="Calibri" w:hAnsi="Calibri" w:eastAsia="微软雅黑"/>
          <w:b/>
          <w:bCs/>
          <w:color w:val="000000"/>
          <w:sz w:val="36"/>
          <w:szCs w:val="36"/>
        </w:rPr>
        <w:t>              </w:t>
      </w:r>
      <w:r>
        <w:rPr>
          <w:rFonts w:ascii="Calibri" w:hAnsi="Calibri" w:eastAsia="微软雅黑"/>
          <w:color w:val="000000"/>
          <w:sz w:val="28"/>
          <w:szCs w:val="28"/>
        </w:rPr>
        <w:t>    </w:t>
      </w:r>
      <w:r>
        <w:rPr>
          <w:rFonts w:hint="eastAsia"/>
          <w:color w:val="000000"/>
          <w:sz w:val="28"/>
          <w:szCs w:val="28"/>
        </w:rPr>
        <w:t>福建省泉州第一中学招标领导小组</w:t>
      </w:r>
    </w:p>
    <w:p>
      <w:pPr>
        <w:pStyle w:val="4"/>
        <w:spacing w:before="0" w:beforeAutospacing="0" w:after="0" w:afterAutospacing="0"/>
        <w:jc w:val="right"/>
        <w:rPr>
          <w:color w:val="000000"/>
          <w:sz w:val="28"/>
          <w:szCs w:val="28"/>
        </w:rPr>
      </w:pPr>
      <w:r>
        <w:rPr>
          <w:rFonts w:ascii="Calibri" w:hAnsi="Calibri" w:eastAsia="微软雅黑"/>
          <w:color w:val="000000"/>
          <w:sz w:val="28"/>
          <w:szCs w:val="28"/>
        </w:rPr>
        <w:t>                                             202</w:t>
      </w:r>
      <w:r>
        <w:rPr>
          <w:rFonts w:hint="eastAsia" w:ascii="Calibri" w:hAnsi="Calibri" w:eastAsia="微软雅黑"/>
          <w:color w:val="000000"/>
          <w:sz w:val="28"/>
          <w:szCs w:val="28"/>
        </w:rPr>
        <w:t>2</w:t>
      </w:r>
      <w:r>
        <w:rPr>
          <w:rFonts w:hint="eastAsia"/>
          <w:color w:val="000000"/>
          <w:sz w:val="28"/>
          <w:szCs w:val="28"/>
        </w:rPr>
        <w:t>年4月26日</w:t>
      </w:r>
    </w:p>
    <w:p>
      <w:pPr>
        <w:pStyle w:val="4"/>
        <w:spacing w:before="0" w:beforeAutospacing="0" w:after="0" w:afterAutospacing="0"/>
        <w:jc w:val="right"/>
        <w:rPr>
          <w:color w:val="000000"/>
          <w:sz w:val="28"/>
          <w:szCs w:val="28"/>
        </w:rPr>
      </w:pPr>
    </w:p>
    <w:p>
      <w:pPr>
        <w:pStyle w:val="4"/>
        <w:spacing w:before="0" w:beforeAutospacing="0" w:after="0" w:afterAutospacing="0"/>
        <w:jc w:val="right"/>
        <w:rPr>
          <w:color w:val="000000"/>
          <w:sz w:val="28"/>
          <w:szCs w:val="28"/>
        </w:rPr>
      </w:pPr>
    </w:p>
    <w:p>
      <w:pPr>
        <w:pStyle w:val="4"/>
        <w:spacing w:before="0" w:beforeAutospacing="0" w:after="0" w:afterAutospacing="0"/>
        <w:jc w:val="right"/>
        <w:rPr>
          <w:color w:val="000000"/>
          <w:sz w:val="28"/>
          <w:szCs w:val="28"/>
        </w:rPr>
      </w:pPr>
    </w:p>
    <w:p>
      <w:pPr>
        <w:pStyle w:val="4"/>
        <w:spacing w:before="0" w:beforeAutospacing="0" w:after="0" w:afterAutospacing="0"/>
        <w:jc w:val="right"/>
        <w:rPr>
          <w:color w:val="000000"/>
          <w:sz w:val="28"/>
          <w:szCs w:val="28"/>
        </w:rPr>
      </w:pPr>
    </w:p>
    <w:p>
      <w:pPr>
        <w:pStyle w:val="4"/>
        <w:spacing w:before="0" w:beforeAutospacing="0" w:after="0" w:afterAutospacing="0"/>
        <w:jc w:val="right"/>
        <w:rPr>
          <w:color w:val="000000"/>
          <w:sz w:val="28"/>
          <w:szCs w:val="28"/>
        </w:rPr>
      </w:pPr>
    </w:p>
    <w:p>
      <w:pPr>
        <w:pStyle w:val="4"/>
        <w:spacing w:before="0" w:beforeAutospacing="0" w:after="0" w:afterAutospacing="0"/>
        <w:jc w:val="right"/>
        <w:rPr>
          <w:color w:val="000000"/>
          <w:sz w:val="28"/>
          <w:szCs w:val="28"/>
        </w:rPr>
      </w:pPr>
    </w:p>
    <w:p>
      <w:pPr>
        <w:pStyle w:val="4"/>
        <w:spacing w:before="0" w:beforeAutospacing="0" w:after="0" w:afterAutospacing="0"/>
        <w:jc w:val="right"/>
        <w:rPr>
          <w:color w:val="000000"/>
          <w:sz w:val="28"/>
          <w:szCs w:val="28"/>
        </w:rPr>
      </w:pPr>
    </w:p>
    <w:p>
      <w:pPr>
        <w:widowControl/>
        <w:spacing w:line="27" w:lineRule="atLeast"/>
        <w:rPr>
          <w:rFonts w:ascii="Calibri" w:hAnsi="Calibri" w:cs="Calibri"/>
          <w:color w:val="000000"/>
          <w:szCs w:val="21"/>
        </w:rPr>
      </w:pPr>
      <w:r>
        <w:rPr>
          <w:rFonts w:hint="eastAsia" w:ascii="宋体" w:hAnsi="宋体" w:eastAsia="宋体" w:cs="宋体"/>
          <w:b/>
          <w:color w:val="000000"/>
          <w:kern w:val="0"/>
          <w:sz w:val="28"/>
          <w:szCs w:val="28"/>
          <w:lang w:bidi="ar"/>
        </w:rPr>
        <w:t>附件</w:t>
      </w:r>
      <w:r>
        <w:rPr>
          <w:rFonts w:ascii="MingLiU" w:hAnsi="MingLiU" w:eastAsia="MingLiU" w:cs="MingLiU"/>
          <w:b/>
          <w:color w:val="000000"/>
          <w:kern w:val="0"/>
          <w:sz w:val="28"/>
          <w:szCs w:val="28"/>
          <w:lang w:bidi="ar"/>
        </w:rPr>
        <w:t>1</w:t>
      </w:r>
    </w:p>
    <w:p>
      <w:pPr>
        <w:widowControl/>
        <w:spacing w:line="27" w:lineRule="atLeast"/>
        <w:ind w:firstLine="723"/>
        <w:jc w:val="center"/>
        <w:rPr>
          <w:rFonts w:ascii="Calibri" w:hAnsi="Calibri" w:cs="Calibri"/>
          <w:color w:val="000000"/>
          <w:szCs w:val="21"/>
        </w:rPr>
      </w:pPr>
      <w:r>
        <w:rPr>
          <w:rFonts w:hint="eastAsia" w:ascii="宋体" w:hAnsi="宋体" w:eastAsia="宋体" w:cs="宋体"/>
          <w:b/>
          <w:color w:val="000000"/>
          <w:kern w:val="0"/>
          <w:sz w:val="36"/>
          <w:szCs w:val="36"/>
          <w:lang w:bidi="ar"/>
        </w:rPr>
        <w:t> </w:t>
      </w:r>
    </w:p>
    <w:p>
      <w:pPr>
        <w:widowControl/>
        <w:spacing w:line="27" w:lineRule="atLeast"/>
        <w:ind w:firstLine="723"/>
        <w:jc w:val="center"/>
        <w:rPr>
          <w:rFonts w:ascii="Calibri" w:hAnsi="Calibri" w:cs="Calibri"/>
          <w:color w:val="000000"/>
          <w:szCs w:val="21"/>
        </w:rPr>
      </w:pPr>
      <w:r>
        <w:rPr>
          <w:rFonts w:hint="eastAsia" w:ascii="宋体" w:hAnsi="宋体" w:eastAsia="宋体" w:cs="宋体"/>
          <w:b/>
          <w:color w:val="000000"/>
          <w:kern w:val="0"/>
          <w:sz w:val="30"/>
          <w:szCs w:val="30"/>
          <w:lang w:bidi="ar"/>
        </w:rPr>
        <w:t>福建省泉州第一中学（学府校区）中高考听力广播备用设备采购项目报价表</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 w:val="28"/>
          <w:szCs w:val="28"/>
          <w:lang w:bidi="ar"/>
        </w:rPr>
        <w:t>福建省泉州第一中学：</w:t>
      </w:r>
    </w:p>
    <w:p>
      <w:pPr>
        <w:widowControl/>
        <w:spacing w:line="27" w:lineRule="atLeast"/>
        <w:rPr>
          <w:rFonts w:ascii="Calibri" w:hAnsi="Calibri" w:cs="Calibri"/>
          <w:color w:val="000000"/>
          <w:szCs w:val="21"/>
        </w:rPr>
      </w:pPr>
      <w:r>
        <w:rPr>
          <w:rFonts w:hint="eastAsia" w:ascii="宋体" w:hAnsi="宋体" w:eastAsia="宋体" w:cs="宋体"/>
          <w:color w:val="000000"/>
          <w:kern w:val="0"/>
          <w:sz w:val="28"/>
          <w:szCs w:val="28"/>
          <w:lang w:bidi="ar"/>
        </w:rPr>
        <w:t>          </w:t>
      </w:r>
    </w:p>
    <w:p>
      <w:pPr>
        <w:widowControl/>
        <w:spacing w:line="27" w:lineRule="atLeast"/>
        <w:ind w:firstLine="1025"/>
        <w:rPr>
          <w:rFonts w:ascii="Calibri" w:hAnsi="Calibri" w:cs="Calibri"/>
          <w:color w:val="000000"/>
          <w:szCs w:val="21"/>
        </w:rPr>
      </w:pPr>
      <w:r>
        <w:rPr>
          <w:rFonts w:hint="eastAsia"/>
          <w:color w:val="000000"/>
          <w:sz w:val="28"/>
          <w:szCs w:val="28"/>
          <w:u w:val="single"/>
        </w:rPr>
        <w:t>福建省泉州第一中学(学府校区)中高考听力广播备用设备采购项目我单位总报价为_____         ___</w:t>
      </w:r>
      <w:r>
        <w:rPr>
          <w:rFonts w:hint="eastAsia" w:ascii="宋体" w:hAnsi="宋体" w:eastAsia="宋体" w:cs="宋体"/>
          <w:color w:val="000000"/>
          <w:kern w:val="0"/>
          <w:sz w:val="28"/>
          <w:szCs w:val="28"/>
          <w:lang w:bidi="ar"/>
        </w:rPr>
        <w:t>（</w:t>
      </w:r>
      <w:r>
        <w:rPr>
          <w:rFonts w:ascii="Arial" w:hAnsi="Arial" w:cs="Arial"/>
          <w:color w:val="000000"/>
          <w:kern w:val="0"/>
          <w:sz w:val="28"/>
          <w:szCs w:val="28"/>
          <w:lang w:bidi="ar"/>
        </w:rPr>
        <w:t>¥</w:t>
      </w:r>
      <w:r>
        <w:rPr>
          <w:rFonts w:hint="eastAsia" w:ascii="宋体" w:hAnsi="宋体" w:eastAsia="宋体" w:cs="宋体"/>
          <w:color w:val="000000"/>
          <w:kern w:val="0"/>
          <w:sz w:val="28"/>
          <w:szCs w:val="28"/>
          <w:lang w:bidi="ar"/>
        </w:rPr>
        <w:t>         ）</w:t>
      </w:r>
    </w:p>
    <w:p>
      <w:pPr>
        <w:widowControl/>
        <w:spacing w:line="27" w:lineRule="atLeast"/>
        <w:ind w:firstLine="1025"/>
        <w:rPr>
          <w:rFonts w:ascii="Calibri" w:hAnsi="Calibri" w:cs="Calibri"/>
          <w:color w:val="000000"/>
          <w:szCs w:val="21"/>
        </w:rPr>
      </w:pPr>
      <w:r>
        <w:rPr>
          <w:rFonts w:hint="eastAsia" w:ascii="宋体" w:hAnsi="宋体" w:eastAsia="宋体" w:cs="宋体"/>
          <w:color w:val="000000"/>
          <w:kern w:val="0"/>
          <w:sz w:val="28"/>
          <w:szCs w:val="28"/>
          <w:lang w:bidi="ar"/>
        </w:rPr>
        <w:t> </w:t>
      </w:r>
    </w:p>
    <w:p>
      <w:pPr>
        <w:widowControl/>
        <w:spacing w:line="27" w:lineRule="atLeast"/>
        <w:ind w:firstLine="1025"/>
        <w:rPr>
          <w:rFonts w:ascii="Calibri" w:hAnsi="Calibri" w:cs="Calibri"/>
          <w:color w:val="000000"/>
          <w:szCs w:val="21"/>
        </w:rPr>
      </w:pPr>
      <w:r>
        <w:rPr>
          <w:rFonts w:hint="eastAsia" w:ascii="宋体" w:hAnsi="宋体" w:eastAsia="宋体" w:cs="宋体"/>
          <w:color w:val="000000"/>
          <w:kern w:val="0"/>
          <w:sz w:val="28"/>
          <w:szCs w:val="28"/>
          <w:lang w:bidi="ar"/>
        </w:rPr>
        <w:t> </w:t>
      </w:r>
    </w:p>
    <w:p>
      <w:pPr>
        <w:widowControl/>
        <w:spacing w:line="27" w:lineRule="atLeast"/>
        <w:ind w:firstLine="1025"/>
        <w:rPr>
          <w:rFonts w:ascii="Calibri" w:hAnsi="Calibri" w:cs="Calibri"/>
          <w:color w:val="000000"/>
          <w:szCs w:val="21"/>
        </w:rPr>
      </w:pPr>
      <w:r>
        <w:rPr>
          <w:rFonts w:hint="eastAsia" w:ascii="宋体" w:hAnsi="宋体" w:eastAsia="宋体" w:cs="宋体"/>
          <w:color w:val="000000"/>
          <w:kern w:val="0"/>
          <w:sz w:val="28"/>
          <w:szCs w:val="28"/>
          <w:lang w:bidi="ar"/>
        </w:rPr>
        <w:t>             投标商名称（公章）：</w:t>
      </w:r>
    </w:p>
    <w:p>
      <w:pPr>
        <w:widowControl/>
        <w:spacing w:line="27" w:lineRule="atLeast"/>
        <w:ind w:firstLine="1025"/>
        <w:rPr>
          <w:rFonts w:ascii="Calibri" w:hAnsi="Calibri" w:cs="Calibri"/>
          <w:color w:val="000000"/>
          <w:szCs w:val="21"/>
        </w:rPr>
      </w:pPr>
      <w:r>
        <w:rPr>
          <w:rFonts w:hint="eastAsia" w:ascii="宋体" w:hAnsi="宋体" w:eastAsia="宋体" w:cs="宋体"/>
          <w:color w:val="000000"/>
          <w:kern w:val="0"/>
          <w:sz w:val="28"/>
          <w:szCs w:val="28"/>
          <w:lang w:bidi="ar"/>
        </w:rPr>
        <w:t>                 年   月   日</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b/>
          <w:color w:val="000000"/>
          <w:kern w:val="0"/>
          <w:sz w:val="28"/>
          <w:szCs w:val="28"/>
          <w:lang w:bidi="ar"/>
        </w:rPr>
        <w:t> </w:t>
      </w:r>
    </w:p>
    <w:p>
      <w:pPr>
        <w:widowControl/>
        <w:spacing w:line="27" w:lineRule="atLeast"/>
        <w:rPr>
          <w:rFonts w:ascii="Calibri" w:hAnsi="Calibri" w:cs="Calibri"/>
          <w:color w:val="000000"/>
          <w:szCs w:val="21"/>
        </w:rPr>
      </w:pPr>
      <w:r>
        <w:rPr>
          <w:rFonts w:hint="eastAsia" w:ascii="宋体" w:hAnsi="宋体" w:eastAsia="宋体" w:cs="宋体"/>
          <w:b/>
          <w:color w:val="000000"/>
          <w:kern w:val="0"/>
          <w:sz w:val="28"/>
          <w:szCs w:val="28"/>
          <w:lang w:bidi="ar"/>
        </w:rPr>
        <w:t> </w:t>
      </w:r>
    </w:p>
    <w:p>
      <w:pPr>
        <w:widowControl/>
        <w:spacing w:line="27" w:lineRule="atLeast"/>
        <w:rPr>
          <w:rFonts w:ascii="Calibri" w:hAnsi="Calibri" w:cs="Calibri"/>
          <w:color w:val="000000"/>
          <w:szCs w:val="21"/>
        </w:rPr>
      </w:pPr>
      <w:r>
        <w:rPr>
          <w:rFonts w:hint="eastAsia" w:ascii="宋体" w:hAnsi="宋体" w:eastAsia="宋体" w:cs="宋体"/>
          <w:b/>
          <w:color w:val="000000"/>
          <w:kern w:val="0"/>
          <w:sz w:val="28"/>
          <w:szCs w:val="28"/>
          <w:lang w:bidi="ar"/>
        </w:rPr>
        <w:t> </w:t>
      </w:r>
    </w:p>
    <w:p>
      <w:pPr>
        <w:widowControl/>
        <w:spacing w:line="27" w:lineRule="atLeast"/>
        <w:rPr>
          <w:rFonts w:ascii="Calibri" w:hAnsi="Calibri" w:cs="Calibri"/>
          <w:color w:val="000000"/>
          <w:szCs w:val="21"/>
        </w:rPr>
      </w:pPr>
      <w:r>
        <w:rPr>
          <w:rFonts w:ascii="Times New Roman" w:hAnsi="Times New Roman" w:cs="Times New Roman"/>
          <w:color w:val="000000"/>
          <w:kern w:val="0"/>
          <w:sz w:val="27"/>
          <w:szCs w:val="27"/>
          <w:lang w:bidi="ar"/>
        </w:rPr>
        <w:t> </w:t>
      </w:r>
    </w:p>
    <w:p>
      <w:pPr>
        <w:widowControl/>
        <w:spacing w:line="27" w:lineRule="atLeast"/>
        <w:rPr>
          <w:rFonts w:ascii="Calibri" w:hAnsi="Calibri" w:cs="Calibri"/>
          <w:color w:val="000000"/>
          <w:szCs w:val="21"/>
        </w:rPr>
      </w:pPr>
      <w:r>
        <w:rPr>
          <w:rFonts w:hint="eastAsia" w:ascii="宋体" w:hAnsi="宋体" w:eastAsia="宋体" w:cs="宋体"/>
          <w:b/>
          <w:color w:val="000000"/>
          <w:kern w:val="0"/>
          <w:sz w:val="28"/>
          <w:szCs w:val="28"/>
          <w:lang w:bidi="ar"/>
        </w:rPr>
        <w:t>附件2</w:t>
      </w:r>
    </w:p>
    <w:p>
      <w:pPr>
        <w:widowControl/>
        <w:wordWrap w:val="0"/>
        <w:spacing w:line="27" w:lineRule="atLeast"/>
        <w:ind w:firstLine="720"/>
        <w:jc w:val="center"/>
        <w:rPr>
          <w:rFonts w:ascii="Calibri" w:hAnsi="Calibri" w:cs="Calibri"/>
          <w:color w:val="000000"/>
          <w:szCs w:val="21"/>
        </w:rPr>
      </w:pPr>
      <w:r>
        <w:rPr>
          <w:rFonts w:hint="eastAsia" w:ascii="宋体" w:hAnsi="宋体" w:eastAsia="宋体" w:cs="宋体"/>
          <w:color w:val="000000"/>
          <w:kern w:val="0"/>
          <w:sz w:val="28"/>
          <w:szCs w:val="28"/>
          <w:lang w:bidi="ar"/>
        </w:rPr>
        <w:t> </w:t>
      </w:r>
    </w:p>
    <w:p>
      <w:pPr>
        <w:widowControl/>
        <w:wordWrap w:val="0"/>
        <w:spacing w:line="27" w:lineRule="atLeast"/>
        <w:ind w:firstLine="720"/>
        <w:jc w:val="center"/>
        <w:rPr>
          <w:rFonts w:ascii="Calibri" w:hAnsi="Calibri" w:cs="Calibri"/>
          <w:color w:val="000000"/>
          <w:szCs w:val="21"/>
        </w:rPr>
      </w:pPr>
      <w:r>
        <w:rPr>
          <w:rFonts w:hint="eastAsia" w:ascii="宋体" w:hAnsi="宋体" w:eastAsia="宋体" w:cs="宋体"/>
          <w:color w:val="000000"/>
          <w:kern w:val="0"/>
          <w:sz w:val="28"/>
          <w:szCs w:val="28"/>
          <w:lang w:bidi="ar"/>
        </w:rPr>
        <w:t>现场勘察证明</w:t>
      </w:r>
    </w:p>
    <w:p>
      <w:pPr>
        <w:widowControl/>
        <w:wordWrap w:val="0"/>
        <w:spacing w:line="27" w:lineRule="atLeast"/>
        <w:ind w:firstLine="560"/>
        <w:jc w:val="left"/>
        <w:rPr>
          <w:rFonts w:ascii="Calibri" w:hAnsi="Calibri" w:cs="Calibri"/>
          <w:color w:val="000000"/>
          <w:szCs w:val="21"/>
        </w:rPr>
      </w:pPr>
      <w:r>
        <w:rPr>
          <w:rFonts w:hint="eastAsia" w:ascii="宋体" w:hAnsi="宋体" w:eastAsia="宋体" w:cs="宋体"/>
          <w:color w:val="000000"/>
          <w:kern w:val="0"/>
          <w:sz w:val="28"/>
          <w:szCs w:val="28"/>
          <w:lang w:bidi="ar"/>
        </w:rPr>
        <w:t>我方于    年    月   日完成对</w:t>
      </w:r>
      <w:r>
        <w:rPr>
          <w:rFonts w:hint="eastAsia"/>
          <w:color w:val="000000"/>
          <w:sz w:val="28"/>
          <w:szCs w:val="28"/>
          <w:u w:val="single"/>
        </w:rPr>
        <w:t>福建省泉州第一中学(学府校区)中高考听力广播备用设备采购项目</w:t>
      </w:r>
      <w:r>
        <w:rPr>
          <w:rFonts w:hint="eastAsia" w:ascii="宋体" w:hAnsi="宋体" w:eastAsia="宋体" w:cs="宋体"/>
          <w:color w:val="000000"/>
          <w:kern w:val="0"/>
          <w:sz w:val="28"/>
          <w:szCs w:val="28"/>
          <w:lang w:bidi="ar"/>
        </w:rPr>
        <w:t>的现场勘察。</w:t>
      </w:r>
    </w:p>
    <w:p>
      <w:pPr>
        <w:widowControl/>
        <w:wordWrap w:val="0"/>
        <w:spacing w:line="27" w:lineRule="atLeast"/>
        <w:ind w:firstLine="560"/>
        <w:jc w:val="left"/>
        <w:rPr>
          <w:rFonts w:ascii="Calibri" w:hAnsi="Calibri" w:cs="Calibri"/>
          <w:color w:val="000000"/>
          <w:szCs w:val="21"/>
        </w:rPr>
      </w:pPr>
      <w:r>
        <w:rPr>
          <w:rFonts w:hint="eastAsia" w:ascii="宋体" w:hAnsi="宋体" w:eastAsia="宋体" w:cs="宋体"/>
          <w:color w:val="000000"/>
          <w:kern w:val="0"/>
          <w:sz w:val="28"/>
          <w:szCs w:val="28"/>
          <w:lang w:bidi="ar"/>
        </w:rPr>
        <w:t>特此证明</w:t>
      </w:r>
    </w:p>
    <w:p>
      <w:pPr>
        <w:widowControl/>
        <w:wordWrap w:val="0"/>
        <w:spacing w:line="27" w:lineRule="atLeast"/>
        <w:ind w:firstLine="560"/>
        <w:jc w:val="left"/>
        <w:rPr>
          <w:rFonts w:ascii="Calibri" w:hAnsi="Calibri" w:cs="Calibri"/>
          <w:color w:val="000000"/>
          <w:szCs w:val="21"/>
        </w:rPr>
      </w:pPr>
      <w:r>
        <w:rPr>
          <w:rFonts w:hint="eastAsia" w:ascii="宋体" w:hAnsi="宋体" w:eastAsia="宋体" w:cs="宋体"/>
          <w:color w:val="000000"/>
          <w:kern w:val="0"/>
          <w:sz w:val="28"/>
          <w:szCs w:val="28"/>
          <w:lang w:bidi="ar"/>
        </w:rPr>
        <w:t> </w:t>
      </w:r>
    </w:p>
    <w:p>
      <w:pPr>
        <w:widowControl/>
        <w:wordWrap w:val="0"/>
        <w:spacing w:line="27" w:lineRule="atLeast"/>
        <w:ind w:firstLine="560"/>
        <w:jc w:val="left"/>
        <w:rPr>
          <w:rFonts w:ascii="Calibri" w:hAnsi="Calibri" w:cs="Calibri"/>
          <w:color w:val="000000"/>
          <w:szCs w:val="21"/>
        </w:rPr>
      </w:pPr>
      <w:r>
        <w:rPr>
          <w:rFonts w:hint="eastAsia" w:ascii="宋体" w:hAnsi="宋体" w:eastAsia="宋体" w:cs="宋体"/>
          <w:color w:val="000000"/>
          <w:kern w:val="0"/>
          <w:sz w:val="28"/>
          <w:szCs w:val="28"/>
          <w:lang w:bidi="ar"/>
        </w:rPr>
        <w:t> </w:t>
      </w:r>
    </w:p>
    <w:p>
      <w:pPr>
        <w:widowControl/>
        <w:wordWrap w:val="0"/>
        <w:spacing w:line="27" w:lineRule="atLeast"/>
        <w:ind w:firstLine="560"/>
        <w:jc w:val="center"/>
        <w:rPr>
          <w:rFonts w:ascii="Calibri" w:hAnsi="Calibri" w:cs="Calibri"/>
          <w:color w:val="000000"/>
          <w:szCs w:val="21"/>
        </w:rPr>
      </w:pPr>
      <w:r>
        <w:rPr>
          <w:rFonts w:hint="eastAsia" w:ascii="宋体" w:hAnsi="宋体" w:eastAsia="宋体" w:cs="宋体"/>
          <w:color w:val="000000"/>
          <w:kern w:val="0"/>
          <w:sz w:val="28"/>
          <w:szCs w:val="28"/>
          <w:lang w:bidi="ar"/>
        </w:rPr>
        <w:t> 投标商名称（公章）：</w:t>
      </w:r>
    </w:p>
    <w:p>
      <w:pPr>
        <w:widowControl/>
        <w:spacing w:line="27" w:lineRule="atLeast"/>
        <w:ind w:firstLine="560"/>
        <w:jc w:val="center"/>
        <w:rPr>
          <w:rFonts w:ascii="Calibri" w:hAnsi="Calibri" w:cs="Calibri"/>
          <w:color w:val="000000"/>
          <w:szCs w:val="21"/>
        </w:rPr>
      </w:pPr>
      <w:r>
        <w:rPr>
          <w:rFonts w:hint="eastAsia" w:ascii="宋体" w:hAnsi="宋体" w:eastAsia="宋体" w:cs="宋体"/>
          <w:color w:val="000000"/>
          <w:kern w:val="0"/>
          <w:sz w:val="28"/>
          <w:szCs w:val="28"/>
          <w:lang w:bidi="ar"/>
        </w:rPr>
        <w:t>校方签名：</w:t>
      </w:r>
    </w:p>
    <w:p>
      <w:pPr>
        <w:widowControl/>
        <w:wordWrap w:val="0"/>
        <w:spacing w:line="27" w:lineRule="atLeast"/>
        <w:ind w:firstLine="560"/>
        <w:jc w:val="center"/>
        <w:rPr>
          <w:rFonts w:ascii="Calibri" w:hAnsi="Calibri" w:cs="Calibri"/>
          <w:color w:val="000000"/>
          <w:szCs w:val="21"/>
        </w:rPr>
      </w:pPr>
      <w:r>
        <w:rPr>
          <w:rFonts w:hint="eastAsia" w:ascii="宋体" w:hAnsi="宋体" w:eastAsia="宋体" w:cs="宋体"/>
          <w:color w:val="000000"/>
          <w:kern w:val="0"/>
          <w:sz w:val="28"/>
          <w:szCs w:val="28"/>
          <w:lang w:bidi="ar"/>
        </w:rPr>
        <w:t>             年  月  日</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widowControl/>
        <w:spacing w:line="27" w:lineRule="atLeast"/>
        <w:rPr>
          <w:rFonts w:ascii="Calibri" w:hAnsi="Calibri" w:cs="Calibri"/>
          <w:color w:val="000000"/>
          <w:szCs w:val="21"/>
        </w:rPr>
      </w:pPr>
      <w:r>
        <w:rPr>
          <w:rFonts w:hint="eastAsia" w:ascii="宋体" w:hAnsi="宋体" w:eastAsia="宋体" w:cs="宋体"/>
          <w:color w:val="000000"/>
          <w:kern w:val="0"/>
          <w:szCs w:val="21"/>
          <w:lang w:bidi="ar"/>
        </w:rPr>
        <w:t> </w:t>
      </w:r>
    </w:p>
    <w:p>
      <w:pPr>
        <w:pStyle w:val="4"/>
        <w:spacing w:before="0" w:beforeAutospacing="0" w:after="0" w:afterAutospacing="0"/>
        <w:jc w:val="right"/>
        <w:rPr>
          <w:color w:val="000000"/>
          <w:sz w:val="28"/>
          <w:szCs w:val="28"/>
        </w:rPr>
      </w:pPr>
    </w:p>
    <w:p/>
    <w:p/>
    <w:p/>
    <w:p/>
    <w:p/>
    <w:p/>
    <w:p/>
    <w:p/>
    <w:p/>
    <w:p/>
    <w:p/>
    <w:p/>
    <w:p/>
    <w:p/>
    <w:p>
      <w:pPr>
        <w:rPr>
          <w:b/>
          <w:bCs/>
        </w:rPr>
      </w:pPr>
    </w:p>
    <w:p>
      <w:pPr>
        <w:rPr>
          <w:b/>
          <w:bCs/>
        </w:rPr>
      </w:pPr>
    </w:p>
    <w:p>
      <w:pPr>
        <w:widowControl/>
        <w:spacing w:line="27" w:lineRule="atLeast"/>
        <w:rPr>
          <w:rFonts w:ascii="MingLiU" w:hAnsi="MingLiU" w:eastAsia="MingLiU" w:cs="MingLiU"/>
          <w:b/>
          <w:color w:val="000000"/>
          <w:kern w:val="0"/>
          <w:sz w:val="28"/>
          <w:szCs w:val="28"/>
          <w:lang w:bidi="ar"/>
        </w:rPr>
      </w:pPr>
      <w:r>
        <w:rPr>
          <w:rFonts w:hint="eastAsia" w:ascii="宋体" w:hAnsi="宋体" w:eastAsia="宋体" w:cs="宋体"/>
          <w:b/>
          <w:color w:val="000000"/>
          <w:kern w:val="0"/>
          <w:sz w:val="28"/>
          <w:szCs w:val="28"/>
          <w:lang w:bidi="ar"/>
        </w:rPr>
        <w:t>附件</w:t>
      </w:r>
      <w:r>
        <w:rPr>
          <w:rFonts w:hint="eastAsia" w:ascii="MingLiU" w:hAnsi="MingLiU" w:eastAsia="MingLiU" w:cs="MingLiU"/>
          <w:b/>
          <w:color w:val="000000"/>
          <w:kern w:val="0"/>
          <w:sz w:val="28"/>
          <w:szCs w:val="28"/>
          <w:lang w:bidi="ar"/>
        </w:rPr>
        <w:t>3</w:t>
      </w:r>
    </w:p>
    <w:tbl>
      <w:tblPr>
        <w:tblStyle w:val="5"/>
        <w:tblW w:w="9390" w:type="dxa"/>
        <w:tblInd w:w="0" w:type="dxa"/>
        <w:tblLayout w:type="autofit"/>
        <w:tblCellMar>
          <w:top w:w="0" w:type="dxa"/>
          <w:left w:w="0" w:type="dxa"/>
          <w:bottom w:w="0" w:type="dxa"/>
          <w:right w:w="0" w:type="dxa"/>
        </w:tblCellMar>
      </w:tblPr>
      <w:tblGrid>
        <w:gridCol w:w="570"/>
        <w:gridCol w:w="1111"/>
        <w:gridCol w:w="5127"/>
        <w:gridCol w:w="610"/>
        <w:gridCol w:w="608"/>
        <w:gridCol w:w="1364"/>
      </w:tblGrid>
      <w:tr>
        <w:tblPrEx>
          <w:tblCellMar>
            <w:top w:w="0" w:type="dxa"/>
            <w:left w:w="0" w:type="dxa"/>
            <w:bottom w:w="0" w:type="dxa"/>
            <w:right w:w="0" w:type="dxa"/>
          </w:tblCellMar>
        </w:tblPrEx>
        <w:trPr>
          <w:trHeight w:val="735" w:hRule="atLeast"/>
        </w:trPr>
        <w:tc>
          <w:tcPr>
            <w:tcW w:w="9402" w:type="dxa"/>
            <w:gridSpan w:val="6"/>
            <w:tcBorders>
              <w:top w:val="nil"/>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32"/>
                <w:szCs w:val="32"/>
              </w:rPr>
            </w:pPr>
            <w:r>
              <w:rPr>
                <w:rFonts w:hint="eastAsia" w:ascii="宋体" w:hAnsi="宋体" w:eastAsia="宋体" w:cs="宋体"/>
                <w:b/>
                <w:color w:val="000000"/>
                <w:kern w:val="0"/>
                <w:sz w:val="32"/>
                <w:szCs w:val="32"/>
                <w:lang w:bidi="ar"/>
              </w:rPr>
              <w:t>泉州一中（学府校区）听力广播备用设备汇总表</w:t>
            </w:r>
          </w:p>
        </w:tc>
      </w:tr>
      <w:tr>
        <w:tblPrEx>
          <w:tblCellMar>
            <w:top w:w="0" w:type="dxa"/>
            <w:left w:w="0" w:type="dxa"/>
            <w:bottom w:w="0" w:type="dxa"/>
            <w:right w:w="0" w:type="dxa"/>
          </w:tblCellMar>
        </w:tblPrEx>
        <w:trPr>
          <w:trHeight w:val="403"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细黑" w:hAnsi="华文细黑" w:eastAsia="华文细黑" w:cs="华文细黑"/>
                <w:b/>
                <w:color w:val="000000"/>
                <w:sz w:val="20"/>
                <w:szCs w:val="20"/>
              </w:rPr>
            </w:pPr>
            <w:r>
              <w:rPr>
                <w:rFonts w:ascii="华文细黑" w:hAnsi="华文细黑" w:eastAsia="华文细黑" w:cs="华文细黑"/>
                <w:b/>
                <w:color w:val="000000"/>
                <w:kern w:val="0"/>
                <w:sz w:val="20"/>
                <w:szCs w:val="20"/>
                <w:lang w:bidi="ar"/>
              </w:rPr>
              <w:t>序号</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细黑" w:hAnsi="华文细黑" w:eastAsia="华文细黑" w:cs="华文细黑"/>
                <w:b/>
                <w:color w:val="000000"/>
                <w:sz w:val="20"/>
                <w:szCs w:val="20"/>
              </w:rPr>
            </w:pPr>
            <w:r>
              <w:rPr>
                <w:rFonts w:ascii="华文细黑" w:hAnsi="华文细黑" w:eastAsia="华文细黑" w:cs="华文细黑"/>
                <w:b/>
                <w:color w:val="000000"/>
                <w:kern w:val="0"/>
                <w:sz w:val="20"/>
                <w:szCs w:val="20"/>
                <w:lang w:bidi="ar"/>
              </w:rPr>
              <w:t>名称</w:t>
            </w:r>
          </w:p>
        </w:tc>
        <w:tc>
          <w:tcPr>
            <w:tcW w:w="5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细黑" w:hAnsi="华文细黑" w:eastAsia="华文细黑" w:cs="华文细黑"/>
                <w:b/>
                <w:color w:val="000000"/>
                <w:sz w:val="20"/>
                <w:szCs w:val="20"/>
              </w:rPr>
            </w:pPr>
            <w:r>
              <w:rPr>
                <w:rFonts w:ascii="华文细黑" w:hAnsi="华文细黑" w:eastAsia="华文细黑" w:cs="华文细黑"/>
                <w:b/>
                <w:color w:val="000000"/>
                <w:kern w:val="0"/>
                <w:sz w:val="20"/>
                <w:szCs w:val="20"/>
                <w:lang w:bidi="ar"/>
              </w:rPr>
              <w:t>规  格   型  号</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细黑" w:hAnsi="华文细黑" w:eastAsia="华文细黑" w:cs="华文细黑"/>
                <w:b/>
                <w:color w:val="000000"/>
                <w:sz w:val="20"/>
                <w:szCs w:val="20"/>
              </w:rPr>
            </w:pPr>
            <w:r>
              <w:rPr>
                <w:rFonts w:ascii="华文细黑" w:hAnsi="华文细黑" w:eastAsia="华文细黑" w:cs="华文细黑"/>
                <w:b/>
                <w:color w:val="000000"/>
                <w:kern w:val="0"/>
                <w:sz w:val="20"/>
                <w:szCs w:val="20"/>
                <w:lang w:bidi="ar"/>
              </w:rPr>
              <w:t>单 位</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细黑" w:hAnsi="华文细黑" w:eastAsia="华文细黑" w:cs="华文细黑"/>
                <w:b/>
                <w:color w:val="000000"/>
                <w:sz w:val="20"/>
                <w:szCs w:val="20"/>
              </w:rPr>
            </w:pPr>
            <w:r>
              <w:rPr>
                <w:rFonts w:ascii="华文细黑" w:hAnsi="华文细黑" w:eastAsia="华文细黑" w:cs="华文细黑"/>
                <w:b/>
                <w:color w:val="000000"/>
                <w:kern w:val="0"/>
                <w:sz w:val="20"/>
                <w:szCs w:val="20"/>
                <w:lang w:bidi="ar"/>
              </w:rPr>
              <w:t>数量</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细黑" w:hAnsi="华文细黑" w:eastAsia="华文细黑" w:cs="华文细黑"/>
                <w:b/>
                <w:color w:val="000000"/>
                <w:sz w:val="20"/>
                <w:szCs w:val="20"/>
              </w:rPr>
            </w:pPr>
            <w:r>
              <w:rPr>
                <w:rFonts w:ascii="华文细黑" w:hAnsi="华文细黑" w:eastAsia="华文细黑" w:cs="华文细黑"/>
                <w:b/>
                <w:color w:val="000000"/>
                <w:kern w:val="0"/>
                <w:sz w:val="20"/>
                <w:szCs w:val="20"/>
                <w:lang w:bidi="ar"/>
              </w:rPr>
              <w:t>备注</w:t>
            </w:r>
          </w:p>
        </w:tc>
      </w:tr>
      <w:tr>
        <w:tblPrEx>
          <w:tblCellMar>
            <w:top w:w="0" w:type="dxa"/>
            <w:left w:w="0" w:type="dxa"/>
            <w:bottom w:w="0" w:type="dxa"/>
            <w:right w:w="0" w:type="dxa"/>
          </w:tblCellMar>
        </w:tblPrEx>
        <w:trPr>
          <w:trHeight w:val="403" w:hRule="atLeast"/>
        </w:trPr>
        <w:tc>
          <w:tcPr>
            <w:tcW w:w="728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华文细黑" w:hAnsi="华文细黑" w:eastAsia="华文细黑" w:cs="华文细黑"/>
                <w:b/>
                <w:color w:val="000000"/>
                <w:sz w:val="20"/>
                <w:szCs w:val="20"/>
              </w:rPr>
            </w:pPr>
            <w:r>
              <w:rPr>
                <w:rFonts w:ascii="华文细黑" w:hAnsi="华文细黑" w:eastAsia="华文细黑" w:cs="华文细黑"/>
                <w:b/>
                <w:color w:val="000000"/>
                <w:kern w:val="0"/>
                <w:sz w:val="20"/>
                <w:szCs w:val="20"/>
                <w:lang w:bidi="ar"/>
              </w:rPr>
              <w:t>一、听力广播系统</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华文细黑" w:hAnsi="华文细黑" w:eastAsia="华文细黑" w:cs="华文细黑"/>
                <w:b/>
                <w:color w:val="000000"/>
                <w:sz w:val="20"/>
                <w:szCs w:val="20"/>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华文细黑" w:hAnsi="华文细黑" w:eastAsia="华文细黑" w:cs="华文细黑"/>
                <w:b/>
                <w:color w:val="000000"/>
                <w:sz w:val="20"/>
                <w:szCs w:val="20"/>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华文细黑" w:hAnsi="华文细黑" w:eastAsia="华文细黑" w:cs="华文细黑"/>
                <w:b/>
                <w:color w:val="000000"/>
                <w:sz w:val="20"/>
                <w:szCs w:val="20"/>
              </w:rPr>
            </w:pPr>
          </w:p>
        </w:tc>
      </w:tr>
      <w:tr>
        <w:tblPrEx>
          <w:tblCellMar>
            <w:top w:w="0" w:type="dxa"/>
            <w:left w:w="0" w:type="dxa"/>
            <w:bottom w:w="0" w:type="dxa"/>
            <w:right w:w="0" w:type="dxa"/>
          </w:tblCellMar>
        </w:tblPrEx>
        <w:trPr>
          <w:trHeight w:val="1790"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话筒</w:t>
            </w:r>
          </w:p>
        </w:tc>
        <w:tc>
          <w:tcPr>
            <w:tcW w:w="5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DSPPA AVP610/</w:t>
            </w:r>
            <w:r>
              <w:rPr>
                <w:rStyle w:val="7"/>
                <w:rFonts w:hint="default"/>
                <w:lang w:bidi="ar"/>
              </w:rPr>
              <w:t>支持终端即插即用；具有延时自动关闭功能；可弯曲式话筒。话筒输出电压</w:t>
            </w:r>
            <w:r>
              <w:rPr>
                <w:rStyle w:val="8"/>
                <w:rFonts w:eastAsia="宋体"/>
                <w:lang w:bidi="ar"/>
              </w:rPr>
              <w:t>600mV</w:t>
            </w:r>
            <w:r>
              <w:rPr>
                <w:rStyle w:val="7"/>
                <w:rFonts w:hint="default"/>
                <w:lang w:bidi="ar"/>
              </w:rPr>
              <w:t>±</w:t>
            </w:r>
            <w:r>
              <w:rPr>
                <w:rStyle w:val="8"/>
                <w:rFonts w:eastAsia="宋体"/>
                <w:lang w:bidi="ar"/>
              </w:rPr>
              <w:t>10mV</w:t>
            </w:r>
            <w:r>
              <w:rPr>
                <w:rStyle w:val="7"/>
                <w:rFonts w:hint="default"/>
                <w:lang w:bidi="ar"/>
              </w:rPr>
              <w:t>或</w:t>
            </w:r>
            <w:r>
              <w:rPr>
                <w:rStyle w:val="8"/>
                <w:rFonts w:eastAsia="宋体"/>
                <w:lang w:bidi="ar"/>
              </w:rPr>
              <w:t>20mV</w:t>
            </w:r>
            <w:r>
              <w:rPr>
                <w:rStyle w:val="7"/>
                <w:rFonts w:hint="default"/>
                <w:lang w:bidi="ar"/>
              </w:rPr>
              <w:t>±</w:t>
            </w:r>
            <w:r>
              <w:rPr>
                <w:rStyle w:val="8"/>
                <w:rFonts w:eastAsia="宋体"/>
                <w:lang w:bidi="ar"/>
              </w:rPr>
              <w:t>10%</w:t>
            </w:r>
            <w:r>
              <w:rPr>
                <w:rStyle w:val="7"/>
                <w:rFonts w:hint="default"/>
                <w:lang w:bidi="ar"/>
              </w:rPr>
              <w:t>（非平衡）；钟声额定输出电压</w:t>
            </w:r>
            <w:r>
              <w:rPr>
                <w:rStyle w:val="8"/>
                <w:rFonts w:eastAsia="宋体"/>
                <w:lang w:bidi="ar"/>
              </w:rPr>
              <w:t>600mV</w:t>
            </w:r>
            <w:r>
              <w:rPr>
                <w:rStyle w:val="7"/>
                <w:rFonts w:hint="default"/>
                <w:lang w:bidi="ar"/>
              </w:rPr>
              <w:t>±</w:t>
            </w:r>
            <w:r>
              <w:rPr>
                <w:rStyle w:val="8"/>
                <w:rFonts w:eastAsia="宋体"/>
                <w:lang w:bidi="ar"/>
              </w:rPr>
              <w:t>10mV</w:t>
            </w:r>
            <w:r>
              <w:rPr>
                <w:rStyle w:val="7"/>
                <w:rFonts w:hint="default"/>
                <w:lang w:bidi="ar"/>
              </w:rPr>
              <w:t>或</w:t>
            </w:r>
            <w:r>
              <w:rPr>
                <w:rStyle w:val="8"/>
                <w:rFonts w:eastAsia="宋体"/>
                <w:lang w:bidi="ar"/>
              </w:rPr>
              <w:t>20mV</w:t>
            </w:r>
            <w:r>
              <w:rPr>
                <w:rStyle w:val="7"/>
                <w:rFonts w:hint="default"/>
                <w:lang w:bidi="ar"/>
              </w:rPr>
              <w:t>±</w:t>
            </w:r>
            <w:r>
              <w:rPr>
                <w:rStyle w:val="8"/>
                <w:rFonts w:eastAsia="宋体"/>
                <w:lang w:bidi="ar"/>
              </w:rPr>
              <w:t>10%</w:t>
            </w:r>
            <w:r>
              <w:rPr>
                <w:rStyle w:val="7"/>
                <w:rFonts w:hint="default"/>
                <w:lang w:bidi="ar"/>
              </w:rPr>
              <w:t>；输出钟声种类</w:t>
            </w:r>
            <w:r>
              <w:rPr>
                <w:rStyle w:val="8"/>
                <w:rFonts w:eastAsia="宋体"/>
                <w:lang w:bidi="ar"/>
              </w:rPr>
              <w:t>CHIMEUP</w:t>
            </w:r>
            <w:r>
              <w:rPr>
                <w:rStyle w:val="7"/>
                <w:rFonts w:hint="default"/>
                <w:lang w:bidi="ar"/>
              </w:rPr>
              <w:t>：上音符</w:t>
            </w:r>
            <w:r>
              <w:rPr>
                <w:rStyle w:val="8"/>
                <w:rFonts w:eastAsia="宋体"/>
                <w:lang w:bidi="ar"/>
              </w:rPr>
              <w:t>1-3-5-і-CHIMEDOWN</w:t>
            </w:r>
            <w:r>
              <w:rPr>
                <w:rStyle w:val="7"/>
                <w:rFonts w:hint="default"/>
                <w:lang w:bidi="ar"/>
              </w:rPr>
              <w:t>：下音符</w:t>
            </w:r>
            <w:r>
              <w:rPr>
                <w:rStyle w:val="8"/>
                <w:rFonts w:eastAsia="宋体"/>
                <w:lang w:bidi="ar"/>
              </w:rPr>
              <w:t>i-5-3-1-</w:t>
            </w:r>
            <w:r>
              <w:rPr>
                <w:rStyle w:val="7"/>
                <w:rFonts w:hint="default"/>
                <w:lang w:bidi="ar"/>
              </w:rPr>
              <w:t>；频率范围</w:t>
            </w:r>
            <w:r>
              <w:rPr>
                <w:rStyle w:val="8"/>
                <w:rFonts w:eastAsia="宋体"/>
                <w:lang w:bidi="ar"/>
              </w:rPr>
              <w:t>100Hz-15kHz</w:t>
            </w:r>
            <w:r>
              <w:rPr>
                <w:rStyle w:val="7"/>
                <w:rFonts w:hint="default"/>
                <w:lang w:bidi="ar"/>
              </w:rPr>
              <w:t>；失真度</w:t>
            </w:r>
            <w:r>
              <w:rPr>
                <w:rStyle w:val="8"/>
                <w:rFonts w:eastAsia="宋体"/>
                <w:lang w:bidi="ar"/>
              </w:rPr>
              <w:t>MIC</w:t>
            </w:r>
            <w:r>
              <w:rPr>
                <w:rStyle w:val="7"/>
                <w:rFonts w:hint="default"/>
                <w:lang w:bidi="ar"/>
              </w:rPr>
              <w:t>：≤</w:t>
            </w:r>
            <w:r>
              <w:rPr>
                <w:rStyle w:val="8"/>
                <w:rFonts w:eastAsia="宋体"/>
                <w:lang w:bidi="ar"/>
              </w:rPr>
              <w:t>1%</w:t>
            </w:r>
            <w:r>
              <w:rPr>
                <w:rStyle w:val="7"/>
                <w:rFonts w:hint="default"/>
                <w:lang w:bidi="ar"/>
              </w:rPr>
              <w:t>。</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只</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183"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2</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播放器</w:t>
            </w:r>
          </w:p>
        </w:tc>
        <w:tc>
          <w:tcPr>
            <w:tcW w:w="5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Times New Roman" w:hAnsi="Times New Roman" w:eastAsia="宋体" w:cs="Times New Roman"/>
                <w:color w:val="000000" w:themeColor="text1"/>
                <w:sz w:val="20"/>
                <w:szCs w:val="20"/>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DSPPA MP9807C  CD/MP3/MP4/VCD/DVD</w:t>
            </w:r>
            <w:r>
              <w:rPr>
                <w:rStyle w:val="7"/>
                <w:rFonts w:hint="default"/>
                <w:color w:val="000000" w:themeColor="text1"/>
                <w:lang w:bidi="ar"/>
                <w14:textFill>
                  <w14:solidFill>
                    <w14:schemeClr w14:val="tx1"/>
                  </w14:solidFill>
                </w14:textFill>
              </w:rPr>
              <w:t>播放功能；</w:t>
            </w:r>
            <w:r>
              <w:rPr>
                <w:rStyle w:val="8"/>
                <w:rFonts w:eastAsia="宋体"/>
                <w:color w:val="000000" w:themeColor="text1"/>
                <w:lang w:bidi="ar"/>
                <w14:textFill>
                  <w14:solidFill>
                    <w14:schemeClr w14:val="tx1"/>
                  </w14:solidFill>
                </w14:textFill>
              </w:rPr>
              <w:t xml:space="preserve"> </w:t>
            </w:r>
            <w:r>
              <w:rPr>
                <w:rStyle w:val="7"/>
                <w:rFonts w:hint="default"/>
                <w:color w:val="000000" w:themeColor="text1"/>
                <w:lang w:bidi="ar"/>
                <w14:textFill>
                  <w14:solidFill>
                    <w14:schemeClr w14:val="tx1"/>
                  </w14:solidFill>
                </w14:textFill>
              </w:rPr>
              <w:t>高亮度动态</w:t>
            </w:r>
            <w:r>
              <w:rPr>
                <w:rStyle w:val="8"/>
                <w:rFonts w:eastAsia="宋体"/>
                <w:color w:val="000000" w:themeColor="text1"/>
                <w:lang w:bidi="ar"/>
                <w14:textFill>
                  <w14:solidFill>
                    <w14:schemeClr w14:val="tx1"/>
                  </w14:solidFill>
                </w14:textFill>
              </w:rPr>
              <w:t>VFD</w:t>
            </w:r>
            <w:r>
              <w:rPr>
                <w:rStyle w:val="7"/>
                <w:rFonts w:hint="default"/>
                <w:color w:val="000000" w:themeColor="text1"/>
                <w:lang w:bidi="ar"/>
                <w14:textFill>
                  <w14:solidFill>
                    <w14:schemeClr w14:val="tx1"/>
                  </w14:solidFill>
                </w14:textFill>
              </w:rPr>
              <w:t>显示，清晰醒目；</w:t>
            </w:r>
            <w:r>
              <w:rPr>
                <w:rStyle w:val="8"/>
                <w:rFonts w:eastAsia="宋体"/>
                <w:color w:val="000000" w:themeColor="text1"/>
                <w:lang w:bidi="ar"/>
                <w14:textFill>
                  <w14:solidFill>
                    <w14:schemeClr w14:val="tx1"/>
                  </w14:solidFill>
                </w14:textFill>
              </w:rPr>
              <w:t xml:space="preserve"> </w:t>
            </w:r>
            <w:r>
              <w:rPr>
                <w:rStyle w:val="7"/>
                <w:rFonts w:hint="default"/>
                <w:color w:val="000000" w:themeColor="text1"/>
                <w:lang w:bidi="ar"/>
                <w14:textFill>
                  <w14:solidFill>
                    <w14:schemeClr w14:val="tx1"/>
                  </w14:solidFill>
                </w14:textFill>
              </w:rPr>
              <w:t>具有曲目直选功能；</w:t>
            </w:r>
            <w:r>
              <w:rPr>
                <w:rStyle w:val="8"/>
                <w:rFonts w:eastAsia="宋体"/>
                <w:color w:val="000000" w:themeColor="text1"/>
                <w:lang w:bidi="ar"/>
                <w14:textFill>
                  <w14:solidFill>
                    <w14:schemeClr w14:val="tx1"/>
                  </w14:solidFill>
                </w14:textFill>
              </w:rPr>
              <w:t xml:space="preserve"> </w:t>
            </w:r>
            <w:r>
              <w:rPr>
                <w:rStyle w:val="7"/>
                <w:rFonts w:hint="default"/>
                <w:color w:val="000000" w:themeColor="text1"/>
                <w:lang w:bidi="ar"/>
                <w14:textFill>
                  <w14:solidFill>
                    <w14:schemeClr w14:val="tx1"/>
                  </w14:solidFill>
                </w14:textFill>
              </w:rPr>
              <w:t>具有通电后自动播放功能</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台</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2</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1880"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3</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Times New Roman"/>
                <w:color w:val="000000" w:themeColor="text1"/>
                <w:sz w:val="20"/>
                <w:szCs w:val="20"/>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前置功放</w:t>
            </w:r>
          </w:p>
        </w:tc>
        <w:tc>
          <w:tcPr>
            <w:tcW w:w="5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Times New Roman" w:hAnsi="Times New Roman" w:eastAsia="宋体" w:cs="Times New Roman"/>
                <w:color w:val="000000" w:themeColor="text1"/>
                <w:sz w:val="20"/>
                <w:szCs w:val="20"/>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DSPPAAVP2706/</w:t>
            </w:r>
            <w:r>
              <w:rPr>
                <w:rStyle w:val="7"/>
                <w:rFonts w:hint="default"/>
                <w:color w:val="000000" w:themeColor="text1"/>
                <w:lang w:bidi="ar"/>
                <w14:textFill>
                  <w14:solidFill>
                    <w14:schemeClr w14:val="tx1"/>
                  </w14:solidFill>
                </w14:textFill>
              </w:rPr>
              <w:t>多种、多个输入</w:t>
            </w:r>
            <w:r>
              <w:rPr>
                <w:rStyle w:val="8"/>
                <w:rFonts w:eastAsia="宋体"/>
                <w:color w:val="000000" w:themeColor="text1"/>
                <w:lang w:bidi="ar"/>
                <w14:textFill>
                  <w14:solidFill>
                    <w14:schemeClr w14:val="tx1"/>
                  </w14:solidFill>
                </w14:textFill>
              </w:rPr>
              <w:t>/</w:t>
            </w:r>
            <w:r>
              <w:rPr>
                <w:rStyle w:val="7"/>
                <w:rFonts w:hint="default"/>
                <w:color w:val="000000" w:themeColor="text1"/>
                <w:lang w:bidi="ar"/>
                <w14:textFill>
                  <w14:solidFill>
                    <w14:schemeClr w14:val="tx1"/>
                  </w14:solidFill>
                </w14:textFill>
              </w:rPr>
              <w:t>输出口：</w:t>
            </w:r>
            <w:r>
              <w:rPr>
                <w:rStyle w:val="8"/>
                <w:rFonts w:eastAsia="宋体"/>
                <w:color w:val="000000" w:themeColor="text1"/>
                <w:lang w:bidi="ar"/>
                <w14:textFill>
                  <w14:solidFill>
                    <w14:schemeClr w14:val="tx1"/>
                  </w14:solidFill>
                </w14:textFill>
              </w:rPr>
              <w:t>5</w:t>
            </w:r>
            <w:r>
              <w:rPr>
                <w:rStyle w:val="7"/>
                <w:rFonts w:hint="default"/>
                <w:color w:val="000000" w:themeColor="text1"/>
                <w:lang w:bidi="ar"/>
                <w14:textFill>
                  <w14:solidFill>
                    <w14:schemeClr w14:val="tx1"/>
                  </w14:solidFill>
                </w14:textFill>
              </w:rPr>
              <w:t>个话筒口；</w:t>
            </w:r>
            <w:r>
              <w:rPr>
                <w:rStyle w:val="8"/>
                <w:rFonts w:eastAsia="宋体"/>
                <w:color w:val="000000" w:themeColor="text1"/>
                <w:lang w:bidi="ar"/>
                <w14:textFill>
                  <w14:solidFill>
                    <w14:schemeClr w14:val="tx1"/>
                  </w14:solidFill>
                </w14:textFill>
              </w:rPr>
              <w:t>3</w:t>
            </w:r>
            <w:r>
              <w:rPr>
                <w:rStyle w:val="7"/>
                <w:rFonts w:hint="default"/>
                <w:color w:val="000000" w:themeColor="text1"/>
                <w:lang w:bidi="ar"/>
                <w14:textFill>
                  <w14:solidFill>
                    <w14:schemeClr w14:val="tx1"/>
                  </w14:solidFill>
                </w14:textFill>
              </w:rPr>
              <w:t>个辅助口；</w:t>
            </w:r>
            <w:r>
              <w:rPr>
                <w:rStyle w:val="8"/>
                <w:rFonts w:eastAsia="宋体"/>
                <w:color w:val="000000" w:themeColor="text1"/>
                <w:lang w:bidi="ar"/>
                <w14:textFill>
                  <w14:solidFill>
                    <w14:schemeClr w14:val="tx1"/>
                  </w14:solidFill>
                </w14:textFill>
              </w:rPr>
              <w:t>2</w:t>
            </w:r>
            <w:r>
              <w:rPr>
                <w:rStyle w:val="7"/>
                <w:rFonts w:hint="default"/>
                <w:color w:val="000000" w:themeColor="text1"/>
                <w:lang w:bidi="ar"/>
                <w14:textFill>
                  <w14:solidFill>
                    <w14:schemeClr w14:val="tx1"/>
                  </w14:solidFill>
                </w14:textFill>
              </w:rPr>
              <w:t>个优先口；</w:t>
            </w:r>
            <w:r>
              <w:rPr>
                <w:rStyle w:val="8"/>
                <w:rFonts w:eastAsia="宋体"/>
                <w:color w:val="000000" w:themeColor="text1"/>
                <w:lang w:bidi="ar"/>
                <w14:textFill>
                  <w14:solidFill>
                    <w14:schemeClr w14:val="tx1"/>
                  </w14:solidFill>
                </w14:textFill>
              </w:rPr>
              <w:t>2</w:t>
            </w:r>
            <w:r>
              <w:rPr>
                <w:rStyle w:val="7"/>
                <w:rFonts w:hint="default"/>
                <w:color w:val="000000" w:themeColor="text1"/>
                <w:lang w:bidi="ar"/>
                <w14:textFill>
                  <w14:solidFill>
                    <w14:schemeClr w14:val="tx1"/>
                  </w14:solidFill>
                </w14:textFill>
              </w:rPr>
              <w:t>个输出。各通道独立音量控制。高音和低音音调控制。自动默音（有强插功能）。最小源电动势</w:t>
            </w:r>
            <w:r>
              <w:rPr>
                <w:rStyle w:val="8"/>
                <w:rFonts w:eastAsia="宋体"/>
                <w:color w:val="000000" w:themeColor="text1"/>
                <w:lang w:bidi="ar"/>
                <w14:textFill>
                  <w14:solidFill>
                    <w14:schemeClr w14:val="tx1"/>
                  </w14:solidFill>
                </w14:textFill>
              </w:rPr>
              <w:t xml:space="preserve"> Mic</w:t>
            </w:r>
            <w:r>
              <w:rPr>
                <w:rStyle w:val="7"/>
                <w:rFonts w:hint="default"/>
                <w:color w:val="000000" w:themeColor="text1"/>
                <w:lang w:bidi="ar"/>
                <w14:textFill>
                  <w14:solidFill>
                    <w14:schemeClr w14:val="tx1"/>
                  </w14:solidFill>
                </w14:textFill>
              </w:rPr>
              <w:t>：≤</w:t>
            </w:r>
            <w:r>
              <w:rPr>
                <w:rStyle w:val="8"/>
                <w:rFonts w:eastAsia="宋体"/>
                <w:color w:val="000000" w:themeColor="text1"/>
                <w:lang w:bidi="ar"/>
                <w14:textFill>
                  <w14:solidFill>
                    <w14:schemeClr w14:val="tx1"/>
                  </w14:solidFill>
                </w14:textFill>
              </w:rPr>
              <w:t>3.2mV</w:t>
            </w:r>
            <w:r>
              <w:rPr>
                <w:rStyle w:val="7"/>
                <w:rFonts w:hint="default"/>
                <w:color w:val="000000" w:themeColor="text1"/>
                <w:lang w:bidi="ar"/>
                <w14:textFill>
                  <w14:solidFill>
                    <w14:schemeClr w14:val="tx1"/>
                  </w14:solidFill>
                </w14:textFill>
              </w:rPr>
              <w:t>，</w:t>
            </w:r>
            <w:r>
              <w:rPr>
                <w:rStyle w:val="8"/>
                <w:rFonts w:eastAsia="宋体"/>
                <w:color w:val="000000" w:themeColor="text1"/>
                <w:lang w:bidi="ar"/>
                <w14:textFill>
                  <w14:solidFill>
                    <w14:schemeClr w14:val="tx1"/>
                  </w14:solidFill>
                </w14:textFill>
              </w:rPr>
              <w:t xml:space="preserve"> </w:t>
            </w:r>
            <w:r>
              <w:rPr>
                <w:rStyle w:val="7"/>
                <w:rFonts w:hint="default"/>
                <w:color w:val="000000" w:themeColor="text1"/>
                <w:lang w:bidi="ar"/>
                <w14:textFill>
                  <w14:solidFill>
                    <w14:schemeClr w14:val="tx1"/>
                  </w14:solidFill>
                </w14:textFill>
              </w:rPr>
              <w:t>不平衡</w:t>
            </w:r>
            <w:r>
              <w:rPr>
                <w:rStyle w:val="8"/>
                <w:rFonts w:eastAsia="宋体"/>
                <w:color w:val="000000" w:themeColor="text1"/>
                <w:lang w:bidi="ar"/>
                <w14:textFill>
                  <w14:solidFill>
                    <w14:schemeClr w14:val="tx1"/>
                  </w14:solidFill>
                </w14:textFill>
              </w:rPr>
              <w:t>/Aux</w:t>
            </w:r>
            <w:r>
              <w:rPr>
                <w:rStyle w:val="7"/>
                <w:rFonts w:hint="default"/>
                <w:color w:val="000000" w:themeColor="text1"/>
                <w:lang w:bidi="ar"/>
                <w14:textFill>
                  <w14:solidFill>
                    <w14:schemeClr w14:val="tx1"/>
                  </w14:solidFill>
                </w14:textFill>
              </w:rPr>
              <w:t>：≤</w:t>
            </w:r>
            <w:r>
              <w:rPr>
                <w:rStyle w:val="8"/>
                <w:rFonts w:eastAsia="宋体"/>
                <w:color w:val="000000" w:themeColor="text1"/>
                <w:lang w:bidi="ar"/>
                <w14:textFill>
                  <w14:solidFill>
                    <w14:schemeClr w14:val="tx1"/>
                  </w14:solidFill>
                </w14:textFill>
              </w:rPr>
              <w:t xml:space="preserve">300mV </w:t>
            </w:r>
            <w:r>
              <w:rPr>
                <w:rStyle w:val="7"/>
                <w:rFonts w:hint="default"/>
                <w:color w:val="000000" w:themeColor="text1"/>
                <w:lang w:bidi="ar"/>
                <w14:textFill>
                  <w14:solidFill>
                    <w14:schemeClr w14:val="tx1"/>
                  </w14:solidFill>
                </w14:textFill>
              </w:rPr>
              <w:t>不平衡</w:t>
            </w:r>
            <w:r>
              <w:rPr>
                <w:rStyle w:val="8"/>
                <w:rFonts w:eastAsia="宋体"/>
                <w:color w:val="000000" w:themeColor="text1"/>
                <w:lang w:bidi="ar"/>
                <w14:textFill>
                  <w14:solidFill>
                    <w14:schemeClr w14:val="tx1"/>
                  </w14:solidFill>
                </w14:textFill>
              </w:rPr>
              <w:t>/EMC</w:t>
            </w:r>
            <w:r>
              <w:rPr>
                <w:rStyle w:val="7"/>
                <w:rFonts w:hint="default"/>
                <w:color w:val="000000" w:themeColor="text1"/>
                <w:lang w:bidi="ar"/>
                <w14:textFill>
                  <w14:solidFill>
                    <w14:schemeClr w14:val="tx1"/>
                  </w14:solidFill>
                </w14:textFill>
              </w:rPr>
              <w:t>：≤</w:t>
            </w:r>
            <w:r>
              <w:rPr>
                <w:rStyle w:val="8"/>
                <w:rFonts w:eastAsia="宋体"/>
                <w:color w:val="000000" w:themeColor="text1"/>
                <w:lang w:bidi="ar"/>
                <w14:textFill>
                  <w14:solidFill>
                    <w14:schemeClr w14:val="tx1"/>
                  </w14:solidFill>
                </w14:textFill>
              </w:rPr>
              <w:t>450mV</w:t>
            </w:r>
            <w:r>
              <w:rPr>
                <w:rStyle w:val="7"/>
                <w:rFonts w:hint="default"/>
                <w:color w:val="000000" w:themeColor="text1"/>
                <w:lang w:bidi="ar"/>
                <w14:textFill>
                  <w14:solidFill>
                    <w14:schemeClr w14:val="tx1"/>
                  </w14:solidFill>
                </w14:textFill>
              </w:rPr>
              <w:t>，输出电平</w:t>
            </w:r>
            <w:r>
              <w:rPr>
                <w:rStyle w:val="8"/>
                <w:rFonts w:eastAsia="宋体"/>
                <w:color w:val="000000" w:themeColor="text1"/>
                <w:lang w:bidi="ar"/>
                <w14:textFill>
                  <w14:solidFill>
                    <w14:schemeClr w14:val="tx1"/>
                  </w14:solidFill>
                </w14:textFill>
              </w:rPr>
              <w:t xml:space="preserve"> 0dBV</w:t>
            </w:r>
            <w:r>
              <w:rPr>
                <w:rStyle w:val="7"/>
                <w:rFonts w:hint="default"/>
                <w:color w:val="000000" w:themeColor="text1"/>
                <w:lang w:bidi="ar"/>
                <w14:textFill>
                  <w14:solidFill>
                    <w14:schemeClr w14:val="tx1"/>
                  </w14:solidFill>
                </w14:textFill>
              </w:rPr>
              <w:t>，频率响应</w:t>
            </w:r>
            <w:r>
              <w:rPr>
                <w:rStyle w:val="8"/>
                <w:rFonts w:eastAsia="宋体"/>
                <w:color w:val="000000" w:themeColor="text1"/>
                <w:lang w:bidi="ar"/>
                <w14:textFill>
                  <w14:solidFill>
                    <w14:schemeClr w14:val="tx1"/>
                  </w14:solidFill>
                </w14:textFill>
              </w:rPr>
              <w:t xml:space="preserve"> Line</w:t>
            </w:r>
            <w:r>
              <w:rPr>
                <w:rStyle w:val="7"/>
                <w:rFonts w:hint="default"/>
                <w:color w:val="000000" w:themeColor="text1"/>
                <w:lang w:bidi="ar"/>
                <w14:textFill>
                  <w14:solidFill>
                    <w14:schemeClr w14:val="tx1"/>
                  </w14:solidFill>
                </w14:textFill>
              </w:rPr>
              <w:t>：</w:t>
            </w:r>
            <w:r>
              <w:rPr>
                <w:rStyle w:val="8"/>
                <w:rFonts w:eastAsia="宋体"/>
                <w:color w:val="000000" w:themeColor="text1"/>
                <w:lang w:bidi="ar"/>
                <w14:textFill>
                  <w14:solidFill>
                    <w14:schemeClr w14:val="tx1"/>
                  </w14:solidFill>
                </w14:textFill>
              </w:rPr>
              <w:t xml:space="preserve">30Hz-20KHz </w:t>
            </w:r>
            <w:r>
              <w:rPr>
                <w:rStyle w:val="7"/>
                <w:rFonts w:hint="default"/>
                <w:color w:val="000000" w:themeColor="text1"/>
                <w:lang w:bidi="ar"/>
                <w14:textFill>
                  <w14:solidFill>
                    <w14:schemeClr w14:val="tx1"/>
                  </w14:solidFill>
                </w14:textFill>
              </w:rPr>
              <w:t>（±</w:t>
            </w:r>
            <w:r>
              <w:rPr>
                <w:rStyle w:val="8"/>
                <w:rFonts w:eastAsia="宋体"/>
                <w:color w:val="000000" w:themeColor="text1"/>
                <w:lang w:bidi="ar"/>
                <w14:textFill>
                  <w14:solidFill>
                    <w14:schemeClr w14:val="tx1"/>
                  </w14:solidFill>
                </w14:textFill>
              </w:rPr>
              <w:t>3dB</w:t>
            </w:r>
            <w:r>
              <w:rPr>
                <w:rStyle w:val="7"/>
                <w:rFonts w:hint="default"/>
                <w:color w:val="000000" w:themeColor="text1"/>
                <w:lang w:bidi="ar"/>
                <w14:textFill>
                  <w14:solidFill>
                    <w14:schemeClr w14:val="tx1"/>
                  </w14:solidFill>
                </w14:textFill>
              </w:rPr>
              <w:t>）</w:t>
            </w:r>
            <w:r>
              <w:rPr>
                <w:rStyle w:val="8"/>
                <w:rFonts w:eastAsia="宋体"/>
                <w:color w:val="000000" w:themeColor="text1"/>
                <w:lang w:bidi="ar"/>
                <w14:textFill>
                  <w14:solidFill>
                    <w14:schemeClr w14:val="tx1"/>
                  </w14:solidFill>
                </w14:textFill>
              </w:rPr>
              <w:t xml:space="preserve"> </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台</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1</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684"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4</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主备功放切换器</w:t>
            </w:r>
          </w:p>
        </w:tc>
        <w:tc>
          <w:tcPr>
            <w:tcW w:w="5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Style w:val="7"/>
                <w:rFonts w:hint="default"/>
                <w:color w:val="000000" w:themeColor="text1"/>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DSPPA AVP2712/</w:t>
            </w:r>
            <w:r>
              <w:rPr>
                <w:rStyle w:val="7"/>
                <w:rFonts w:hint="default"/>
                <w:color w:val="000000" w:themeColor="text1"/>
                <w:lang w:bidi="ar"/>
                <w14:textFill>
                  <w14:solidFill>
                    <w14:schemeClr w14:val="tx1"/>
                  </w14:solidFill>
                </w14:textFill>
              </w:rPr>
              <w:t>1、能自动发现声频功放故障并在“主功放”和“ 备用功放”之间实现自动切换。</w:t>
            </w:r>
          </w:p>
          <w:p>
            <w:pPr>
              <w:widowControl/>
              <w:jc w:val="left"/>
              <w:textAlignment w:val="center"/>
              <w:rPr>
                <w:rStyle w:val="7"/>
                <w:rFonts w:hint="default"/>
                <w:color w:val="000000" w:themeColor="text1"/>
                <w:lang w:bidi="ar"/>
                <w14:textFill>
                  <w14:solidFill>
                    <w14:schemeClr w14:val="tx1"/>
                  </w14:solidFill>
                </w14:textFill>
              </w:rPr>
            </w:pPr>
            <w:r>
              <w:rPr>
                <w:rStyle w:val="7"/>
                <w:rFonts w:hint="default"/>
                <w:color w:val="000000" w:themeColor="text1"/>
                <w:lang w:bidi="ar"/>
                <w14:textFill>
                  <w14:solidFill>
                    <w14:schemeClr w14:val="tx1"/>
                  </w14:solidFill>
                </w14:textFill>
              </w:rPr>
              <w:t>2、具有4个完全相同的独立通道，每个通道均能完成主/备功放之自动检测与切换。</w:t>
            </w:r>
          </w:p>
          <w:p>
            <w:pPr>
              <w:widowControl/>
              <w:jc w:val="left"/>
              <w:textAlignment w:val="center"/>
              <w:rPr>
                <w:rStyle w:val="7"/>
                <w:rFonts w:hint="default"/>
                <w:color w:val="000000" w:themeColor="text1"/>
                <w:lang w:bidi="ar"/>
                <w14:textFill>
                  <w14:solidFill>
                    <w14:schemeClr w14:val="tx1"/>
                  </w14:solidFill>
                </w14:textFill>
              </w:rPr>
            </w:pPr>
            <w:r>
              <w:rPr>
                <w:rStyle w:val="7"/>
                <w:rFonts w:hint="default"/>
                <w:color w:val="000000" w:themeColor="text1"/>
                <w:lang w:bidi="ar"/>
                <w14:textFill>
                  <w14:solidFill>
                    <w14:schemeClr w14:val="tx1"/>
                  </w14:solidFill>
                </w14:textFill>
              </w:rPr>
              <w:t>3、兼有手动主/备切换之功能。</w:t>
            </w:r>
          </w:p>
          <w:p>
            <w:pPr>
              <w:widowControl/>
              <w:jc w:val="left"/>
              <w:textAlignment w:val="center"/>
              <w:rPr>
                <w:rStyle w:val="7"/>
                <w:rFonts w:hint="default"/>
                <w:color w:val="000000" w:themeColor="text1"/>
                <w:lang w:bidi="ar"/>
                <w14:textFill>
                  <w14:solidFill>
                    <w14:schemeClr w14:val="tx1"/>
                  </w14:solidFill>
                </w14:textFill>
              </w:rPr>
            </w:pPr>
            <w:r>
              <w:rPr>
                <w:rStyle w:val="7"/>
                <w:rFonts w:hint="default"/>
                <w:color w:val="000000" w:themeColor="text1"/>
                <w:lang w:bidi="ar"/>
                <w14:textFill>
                  <w14:solidFill>
                    <w14:schemeClr w14:val="tx1"/>
                  </w14:solidFill>
                </w14:textFill>
              </w:rPr>
              <w:t>★4、具四主一备功能：设备连接四台主功放，同时在通道1连接一台备功放；当每个通道主功放出现故障时都可自动调用该备功放。（提供满足该功能检测合格的第三方检测报告复印件予以佐证）</w:t>
            </w:r>
          </w:p>
          <w:p>
            <w:pPr>
              <w:widowControl/>
              <w:jc w:val="left"/>
              <w:textAlignment w:val="center"/>
              <w:rPr>
                <w:rStyle w:val="7"/>
                <w:rFonts w:hint="default"/>
                <w:color w:val="000000" w:themeColor="text1"/>
                <w:lang w:bidi="ar"/>
                <w14:textFill>
                  <w14:solidFill>
                    <w14:schemeClr w14:val="tx1"/>
                  </w14:solidFill>
                </w14:textFill>
              </w:rPr>
            </w:pPr>
            <w:r>
              <w:rPr>
                <w:rStyle w:val="7"/>
                <w:rFonts w:hint="default"/>
                <w:color w:val="000000" w:themeColor="text1"/>
                <w:lang w:bidi="ar"/>
                <w14:textFill>
                  <w14:solidFill>
                    <w14:schemeClr w14:val="tx1"/>
                  </w14:solidFill>
                </w14:textFill>
              </w:rPr>
              <w:t>★5、通道1具有优先调用功能，即在四主一备功能模式下，通道1的主功放出现故障时，会将其他通道调用的备功放强行调回通道1使用。（提供满足该功能检测合格的第三方检测报告复印件予以佐证）</w:t>
            </w:r>
          </w:p>
          <w:p>
            <w:pPr>
              <w:widowControl/>
              <w:jc w:val="left"/>
              <w:textAlignment w:val="center"/>
              <w:rPr>
                <w:rStyle w:val="7"/>
                <w:rFonts w:hint="default"/>
                <w:color w:val="000000" w:themeColor="text1"/>
                <w:lang w:bidi="ar"/>
                <w14:textFill>
                  <w14:solidFill>
                    <w14:schemeClr w14:val="tx1"/>
                  </w14:solidFill>
                </w14:textFill>
              </w:rPr>
            </w:pPr>
            <w:r>
              <w:rPr>
                <w:rStyle w:val="7"/>
                <w:rFonts w:hint="default"/>
                <w:color w:val="000000" w:themeColor="text1"/>
                <w:lang w:bidi="ar"/>
                <w14:textFill>
                  <w14:solidFill>
                    <w14:schemeClr w14:val="tx1"/>
                  </w14:solidFill>
                </w14:textFill>
              </w:rPr>
              <w:t>★6、当主功放出现故障时，由主功放切换到备功放的切换时间≤200ms。（提供满足该功能检测合格的第三方检测报告复印件予以佐证）</w:t>
            </w:r>
          </w:p>
          <w:p>
            <w:pPr>
              <w:widowControl/>
              <w:jc w:val="left"/>
              <w:textAlignment w:val="center"/>
              <w:rPr>
                <w:rStyle w:val="7"/>
                <w:rFonts w:hint="default"/>
                <w:color w:val="000000" w:themeColor="text1"/>
                <w:lang w:bidi="ar"/>
                <w14:textFill>
                  <w14:solidFill>
                    <w14:schemeClr w14:val="tx1"/>
                  </w14:solidFill>
                </w14:textFill>
              </w:rPr>
            </w:pPr>
            <w:r>
              <w:rPr>
                <w:rStyle w:val="7"/>
                <w:rFonts w:hint="default"/>
                <w:color w:val="000000" w:themeColor="text1"/>
                <w:lang w:bidi="ar"/>
                <w14:textFill>
                  <w14:solidFill>
                    <w14:schemeClr w14:val="tx1"/>
                  </w14:solidFill>
                </w14:textFill>
              </w:rPr>
              <w:t>7、通道工作容量 100V/10A（音频信号）</w:t>
            </w:r>
          </w:p>
          <w:p>
            <w:pPr>
              <w:widowControl/>
              <w:jc w:val="left"/>
              <w:textAlignment w:val="center"/>
              <w:rPr>
                <w:rStyle w:val="7"/>
                <w:rFonts w:hint="default"/>
                <w:color w:val="000000" w:themeColor="text1"/>
                <w:lang w:bidi="ar"/>
                <w14:textFill>
                  <w14:solidFill>
                    <w14:schemeClr w14:val="tx1"/>
                  </w14:solidFill>
                </w14:textFill>
              </w:rPr>
            </w:pPr>
            <w:r>
              <w:rPr>
                <w:rStyle w:val="7"/>
                <w:rFonts w:hint="default"/>
                <w:color w:val="000000" w:themeColor="text1"/>
                <w:lang w:bidi="ar"/>
                <w14:textFill>
                  <w14:solidFill>
                    <w14:schemeClr w14:val="tx1"/>
                  </w14:solidFill>
                </w14:textFill>
              </w:rPr>
              <w:t>8、功放增益要求 &gt;20dB</w:t>
            </w:r>
          </w:p>
          <w:p>
            <w:pPr>
              <w:widowControl/>
              <w:jc w:val="left"/>
              <w:textAlignment w:val="center"/>
              <w:rPr>
                <w:rStyle w:val="7"/>
                <w:rFonts w:hint="default"/>
                <w:color w:val="000000" w:themeColor="text1"/>
                <w:lang w:bidi="ar"/>
                <w14:textFill>
                  <w14:solidFill>
                    <w14:schemeClr w14:val="tx1"/>
                  </w14:solidFill>
                </w14:textFill>
              </w:rPr>
            </w:pPr>
            <w:r>
              <w:rPr>
                <w:rStyle w:val="7"/>
                <w:rFonts w:hint="default"/>
                <w:color w:val="000000" w:themeColor="text1"/>
                <w:lang w:bidi="ar"/>
                <w14:textFill>
                  <w14:solidFill>
                    <w14:schemeClr w14:val="tx1"/>
                  </w14:solidFill>
                </w14:textFill>
              </w:rPr>
              <w:t>9、输入检测电压阀值 &lt;500mV</w:t>
            </w:r>
          </w:p>
          <w:p>
            <w:pPr>
              <w:widowControl/>
              <w:jc w:val="left"/>
              <w:textAlignment w:val="center"/>
              <w:rPr>
                <w:rStyle w:val="7"/>
                <w:rFonts w:hint="default"/>
                <w:color w:val="000000" w:themeColor="text1"/>
                <w:lang w:bidi="ar"/>
                <w14:textFill>
                  <w14:solidFill>
                    <w14:schemeClr w14:val="tx1"/>
                  </w14:solidFill>
                </w14:textFill>
              </w:rPr>
            </w:pPr>
            <w:r>
              <w:rPr>
                <w:rStyle w:val="7"/>
                <w:rFonts w:hint="default"/>
                <w:color w:val="000000" w:themeColor="text1"/>
                <w:lang w:bidi="ar"/>
                <w14:textFill>
                  <w14:solidFill>
                    <w14:schemeClr w14:val="tx1"/>
                  </w14:solidFill>
                </w14:textFill>
              </w:rPr>
              <w:t>10、检测信号输出电压 20mV-50mV</w:t>
            </w:r>
          </w:p>
          <w:p>
            <w:pPr>
              <w:widowControl/>
              <w:jc w:val="left"/>
              <w:textAlignment w:val="center"/>
              <w:rPr>
                <w:rFonts w:ascii="Times New Roman" w:hAnsi="Times New Roman" w:eastAsia="宋体" w:cs="Times New Roman"/>
                <w:color w:val="000000" w:themeColor="text1"/>
                <w:sz w:val="20"/>
                <w:szCs w:val="20"/>
                <w14:textFill>
                  <w14:solidFill>
                    <w14:schemeClr w14:val="tx1"/>
                  </w14:solidFill>
                </w14:textFill>
              </w:rPr>
            </w:pPr>
            <w:r>
              <w:rPr>
                <w:rStyle w:val="7"/>
                <w:rFonts w:hint="default"/>
                <w:color w:val="000000" w:themeColor="text1"/>
                <w:lang w:bidi="ar"/>
                <w14:textFill>
                  <w14:solidFill>
                    <w14:schemeClr w14:val="tx1"/>
                  </w14:solidFill>
                </w14:textFill>
              </w:rPr>
              <w:t>11、通道检测时间 ≤40ms</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台</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1</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sz w:val="20"/>
                <w:szCs w:val="20"/>
                <w14:textFill>
                  <w14:solidFill>
                    <w14:schemeClr w14:val="tx1"/>
                  </w14:solidFill>
                </w14:textFill>
              </w:rPr>
            </w:pPr>
            <w:r>
              <w:rPr>
                <w:rStyle w:val="7"/>
                <w:rFonts w:hint="eastAsia"/>
                <w:color w:val="000000" w:themeColor="text1"/>
                <w:lang w:val="en-US" w:eastAsia="zh-CN" w:bidi="ar"/>
                <w14:textFill>
                  <w14:solidFill>
                    <w14:schemeClr w14:val="tx1"/>
                  </w14:solidFill>
                </w14:textFill>
              </w:rPr>
              <w:t>★号项提供满足该功能检测合格的第三方检测报告复印件作为投标文件内容</w:t>
            </w:r>
          </w:p>
        </w:tc>
      </w:tr>
      <w:tr>
        <w:tblPrEx>
          <w:tblCellMar>
            <w:top w:w="0" w:type="dxa"/>
            <w:left w:w="0" w:type="dxa"/>
            <w:bottom w:w="0" w:type="dxa"/>
            <w:right w:w="0" w:type="dxa"/>
          </w:tblCellMar>
        </w:tblPrEx>
        <w:trPr>
          <w:trHeight w:val="3390"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5</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纯后级功放</w:t>
            </w:r>
          </w:p>
        </w:tc>
        <w:tc>
          <w:tcPr>
            <w:tcW w:w="5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DSPPA MP3500/1、3U标准机柜设计，工业级面板，两边延伸拉手，适用于机柜或桌面安装；</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2、自带一键开关按钮、一个音量调节旋钮，控制线路音量；</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3、≥5个LED指示灯，通过指示灯实时了解功放工作状态，指示灯状态有：“电源”,“削顶”,“信号”,“保护”和“超温”；</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4、输出短路保护并示警；</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5、支持≥1路XLR插口音源输入，≥1路6.35mm 插口音源输入，≥1路XLR插口音源输出，≥1路 6.35mm 插口音源输出，可环接至下一台功放音频输入接口；</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 xml:space="preserve">6、≥1500W定压输出和4欧平衡输出（不接地）；    </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 xml:space="preserve">7、失真限制的功率输出：4Ω定阻输出时≥1600W，200V定压输出时≥1600W；                                                                                         </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 xml:space="preserve">8、增益限制的有效频率范围：≤90Hz～≥20000Hz,；                                                                                                          </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 xml:space="preserve">9、最小源电动势：≤1.0V；                                                                                                                         </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 xml:space="preserve">10、正常工作条件下总谐波失真：4Ω定阻输出时≤0.2%，200V定压输出时≤0.16%；                                                                                           </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 xml:space="preserve">11、宽带信噪比：4Ω定阻输出时≥86dB，200V定压输出时≥86dB；                                                                                                    </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 xml:space="preserve">12、A计权信噪比：4Ω定阻输出时≥93dB，200V定压输出时≥94dB；                                                                              </w:t>
            </w:r>
          </w:p>
          <w:p>
            <w:pPr>
              <w:widowControl/>
              <w:jc w:val="left"/>
              <w:textAlignment w:val="center"/>
              <w:rPr>
                <w:rFonts w:ascii="Times New Roman" w:hAnsi="Times New Roman" w:eastAsia="宋体" w:cs="Times New Roman"/>
                <w:color w:val="000000" w:themeColor="text1"/>
                <w:kern w:val="0"/>
                <w:sz w:val="20"/>
                <w:szCs w:val="20"/>
                <w:lang w:bidi="ar"/>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★13、以上7～12条性能参数需提供工业和信息化部研究机构根据SJ/T10406-2016声频功率放大器通用技术条件检测合格的检测报告复印件</w:t>
            </w:r>
            <w:r>
              <w:rPr>
                <w:rFonts w:hint="eastAsia" w:ascii="Times New Roman" w:hAnsi="Times New Roman" w:eastAsia="宋体" w:cs="Times New Roman"/>
                <w:color w:val="000000" w:themeColor="text1"/>
                <w:kern w:val="0"/>
                <w:sz w:val="20"/>
                <w:szCs w:val="20"/>
                <w:lang w:bidi="ar"/>
                <w14:textFill>
                  <w14:solidFill>
                    <w14:schemeClr w14:val="tx1"/>
                  </w14:solidFill>
                </w14:textFill>
              </w:rPr>
              <w:t>；</w:t>
            </w:r>
          </w:p>
          <w:p>
            <w:pPr>
              <w:widowControl/>
              <w:jc w:val="left"/>
              <w:textAlignment w:val="center"/>
              <w:rPr>
                <w:rFonts w:ascii="Times New Roman" w:hAnsi="Times New Roman" w:eastAsia="宋体" w:cs="Times New Roman"/>
                <w:color w:val="000000" w:themeColor="text1"/>
                <w:sz w:val="20"/>
                <w:szCs w:val="20"/>
                <w14:textFill>
                  <w14:solidFill>
                    <w14:schemeClr w14:val="tx1"/>
                  </w14:solidFill>
                </w14:textFill>
              </w:rPr>
            </w:pPr>
            <w:r>
              <w:rPr>
                <w:rFonts w:hint="eastAsia" w:ascii="Times New Roman" w:hAnsi="Times New Roman" w:eastAsia="宋体" w:cs="Times New Roman"/>
                <w:color w:val="000000" w:themeColor="text1"/>
                <w:kern w:val="0"/>
                <w:sz w:val="20"/>
                <w:szCs w:val="20"/>
                <w:lang w:bidi="ar"/>
                <w14:textFill>
                  <w14:solidFill>
                    <w14:schemeClr w14:val="tx1"/>
                  </w14:solidFill>
                </w14:textFill>
              </w:rPr>
              <w:t>14、</w:t>
            </w:r>
            <w:r>
              <w:rPr>
                <w:rStyle w:val="7"/>
                <w:rFonts w:hint="default"/>
                <w:color w:val="000000" w:themeColor="text1"/>
                <w:lang w:bidi="ar"/>
                <w14:textFill>
                  <w14:solidFill>
                    <w14:schemeClr w14:val="tx1"/>
                  </w14:solidFill>
                </w14:textFill>
              </w:rPr>
              <w:t>产品认证</w:t>
            </w:r>
            <w:r>
              <w:rPr>
                <w:rStyle w:val="8"/>
                <w:rFonts w:eastAsia="宋体"/>
                <w:color w:val="000000" w:themeColor="text1"/>
                <w:lang w:bidi="ar"/>
                <w14:textFill>
                  <w14:solidFill>
                    <w14:schemeClr w14:val="tx1"/>
                  </w14:solidFill>
                </w14:textFill>
              </w:rPr>
              <w:t>3C</w:t>
            </w:r>
            <w:r>
              <w:rPr>
                <w:rStyle w:val="7"/>
                <w:rFonts w:hint="default"/>
                <w:color w:val="000000" w:themeColor="text1"/>
                <w:lang w:bidi="ar"/>
                <w14:textFill>
                  <w14:solidFill>
                    <w14:schemeClr w14:val="tx1"/>
                  </w14:solidFill>
                </w14:textFill>
              </w:rPr>
              <w:t>证书复印件。</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台</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4</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sz w:val="20"/>
                <w:szCs w:val="20"/>
                <w14:textFill>
                  <w14:solidFill>
                    <w14:schemeClr w14:val="tx1"/>
                  </w14:solidFill>
                </w14:textFill>
              </w:rPr>
            </w:pPr>
            <w:r>
              <w:rPr>
                <w:rFonts w:hint="eastAsia" w:ascii="Times New Roman" w:hAnsi="Times New Roman" w:eastAsia="宋体" w:cs="Times New Roman"/>
                <w:color w:val="000000" w:themeColor="text1"/>
                <w:kern w:val="0"/>
                <w:sz w:val="20"/>
                <w:szCs w:val="20"/>
                <w:lang w:val="en-US" w:eastAsia="zh-CN" w:bidi="ar"/>
                <w14:textFill>
                  <w14:solidFill>
                    <w14:schemeClr w14:val="tx1"/>
                  </w14:solidFill>
                </w14:textFill>
              </w:rPr>
              <w:t>★号项</w:t>
            </w:r>
            <w:r>
              <w:rPr>
                <w:rFonts w:hint="default" w:ascii="Times New Roman" w:hAnsi="Times New Roman" w:eastAsia="宋体" w:cs="Times New Roman"/>
                <w:color w:val="000000" w:themeColor="text1"/>
                <w:kern w:val="0"/>
                <w:sz w:val="20"/>
                <w:szCs w:val="20"/>
                <w:lang w:val="en-US" w:eastAsia="zh-CN" w:bidi="ar"/>
                <w14:textFill>
                  <w14:solidFill>
                    <w14:schemeClr w14:val="tx1"/>
                  </w14:solidFill>
                </w14:textFill>
              </w:rPr>
              <w:t>以上7～12条性能参数需提供工业和信息化部研究机构根据SJ/T10406-2016声频功率放大器通用技术条件检测合格的检测报告复印件</w:t>
            </w:r>
            <w:r>
              <w:rPr>
                <w:rFonts w:hint="eastAsia" w:ascii="Times New Roman" w:hAnsi="Times New Roman" w:eastAsia="宋体" w:cs="Times New Roman"/>
                <w:color w:val="000000" w:themeColor="text1"/>
                <w:kern w:val="0"/>
                <w:sz w:val="20"/>
                <w:szCs w:val="20"/>
                <w:lang w:val="en-US" w:eastAsia="zh-CN" w:bidi="ar"/>
                <w14:textFill>
                  <w14:solidFill>
                    <w14:schemeClr w14:val="tx1"/>
                  </w14:solidFill>
                </w14:textFill>
              </w:rPr>
              <w:t>，</w:t>
            </w:r>
            <w:r>
              <w:rPr>
                <w:rFonts w:ascii="Times New Roman" w:hAnsi="Times New Roman" w:eastAsia="宋体" w:cs="Times New Roman"/>
                <w:color w:val="000000" w:themeColor="text1"/>
                <w:kern w:val="0"/>
                <w:sz w:val="20"/>
                <w:szCs w:val="20"/>
                <w:lang w:val="en-US" w:eastAsia="zh-CN" w:bidi="ar"/>
                <w14:textFill>
                  <w14:solidFill>
                    <w14:schemeClr w14:val="tx1"/>
                  </w14:solidFill>
                </w14:textFill>
              </w:rPr>
              <w:t>产品认证3C证书复印件，</w:t>
            </w:r>
            <w:r>
              <w:rPr>
                <w:rFonts w:hint="eastAsia" w:ascii="Times New Roman" w:hAnsi="Times New Roman" w:eastAsia="宋体" w:cs="Times New Roman"/>
                <w:color w:val="000000" w:themeColor="text1"/>
                <w:kern w:val="0"/>
                <w:sz w:val="20"/>
                <w:szCs w:val="20"/>
                <w:lang w:val="en-US" w:eastAsia="zh-CN" w:bidi="ar"/>
                <w14:textFill>
                  <w14:solidFill>
                    <w14:schemeClr w14:val="tx1"/>
                  </w14:solidFill>
                </w14:textFill>
              </w:rPr>
              <w:t>作为投标文件内容</w:t>
            </w:r>
          </w:p>
        </w:tc>
      </w:tr>
      <w:tr>
        <w:tblPrEx>
          <w:tblCellMar>
            <w:top w:w="0" w:type="dxa"/>
            <w:left w:w="0" w:type="dxa"/>
            <w:bottom w:w="0" w:type="dxa"/>
            <w:right w:w="0" w:type="dxa"/>
          </w:tblCellMar>
        </w:tblPrEx>
        <w:trPr>
          <w:trHeight w:val="1960"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6</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电源时序器</w:t>
            </w:r>
          </w:p>
        </w:tc>
        <w:tc>
          <w:tcPr>
            <w:tcW w:w="5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DSPPA AVP2716/按顺序开启或关闭16路受控设备的电源。可以通过定时器自动控制或人工控制电源插座输出总容量 3.5kVA，16A,  16通道；电源插座输出总容量3.5kVA，16A，16通道；每个插座最大输出为220V，10A；定时器控制信号 交流220伏，0.01A,动作间隔时间 0.4秒-0.5秒,保护 AC保险丝,耗电 AC220V/50Hz/16A</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台</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2</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448"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7</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切换开关</w:t>
            </w:r>
          </w:p>
        </w:tc>
        <w:tc>
          <w:tcPr>
            <w:tcW w:w="5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Times New Roman" w:hAnsi="Times New Roman" w:eastAsia="宋体" w:cs="Times New Roman"/>
                <w:color w:val="000000" w:themeColor="text1"/>
                <w:sz w:val="20"/>
                <w:szCs w:val="20"/>
                <w14:textFill>
                  <w14:solidFill>
                    <w14:schemeClr w14:val="tx1"/>
                  </w14:solidFill>
                </w14:textFill>
              </w:rPr>
            </w:pPr>
            <w:r>
              <w:rPr>
                <w:rStyle w:val="7"/>
                <w:rFonts w:hint="default"/>
                <w:color w:val="000000" w:themeColor="text1"/>
                <w:lang w:bidi="ar"/>
                <w14:textFill>
                  <w14:solidFill>
                    <w14:schemeClr w14:val="tx1"/>
                  </w14:solidFill>
                </w14:textFill>
              </w:rPr>
              <w:t>顺控主副控制切换闸刀</w:t>
            </w:r>
            <w:r>
              <w:rPr>
                <w:rStyle w:val="8"/>
                <w:rFonts w:eastAsia="宋体"/>
                <w:color w:val="000000" w:themeColor="text1"/>
                <w:lang w:bidi="ar"/>
                <w14:textFill>
                  <w14:solidFill>
                    <w14:schemeClr w14:val="tx1"/>
                  </w14:solidFill>
                </w14:textFill>
              </w:rPr>
              <w:t>/</w:t>
            </w:r>
            <w:r>
              <w:rPr>
                <w:rStyle w:val="7"/>
                <w:rFonts w:hint="default"/>
                <w:color w:val="000000" w:themeColor="text1"/>
                <w:lang w:bidi="ar"/>
                <w14:textFill>
                  <w14:solidFill>
                    <w14:schemeClr w14:val="tx1"/>
                  </w14:solidFill>
                </w14:textFill>
              </w:rPr>
              <w:t>订制</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套</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1</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448"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8</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监听音箱</w:t>
            </w:r>
          </w:p>
        </w:tc>
        <w:tc>
          <w:tcPr>
            <w:tcW w:w="5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Times New Roman" w:hAnsi="Times New Roman" w:eastAsia="宋体" w:cs="Times New Roman"/>
                <w:color w:val="000000" w:themeColor="text1"/>
                <w:sz w:val="20"/>
                <w:szCs w:val="20"/>
                <w14:textFill>
                  <w14:solidFill>
                    <w14:schemeClr w14:val="tx1"/>
                  </w14:solidFill>
                </w14:textFill>
              </w:rPr>
            </w:pPr>
            <w:r>
              <w:rPr>
                <w:rFonts w:ascii="Times New Roman" w:hAnsi="Times New Roman" w:eastAsia="宋体" w:cs="Times New Roman"/>
                <w:color w:val="000000" w:themeColor="text1"/>
                <w:kern w:val="0"/>
                <w:sz w:val="20"/>
                <w:szCs w:val="20"/>
                <w:lang w:bidi="ar"/>
                <w14:textFill>
                  <w14:solidFill>
                    <w14:schemeClr w14:val="tx1"/>
                  </w14:solidFill>
                </w14:textFill>
              </w:rPr>
              <w:t>DSPPA 406</w:t>
            </w:r>
            <w:r>
              <w:rPr>
                <w:rStyle w:val="7"/>
                <w:rFonts w:hint="default"/>
                <w:color w:val="000000" w:themeColor="text1"/>
                <w:lang w:bidi="ar"/>
                <w14:textFill>
                  <w14:solidFill>
                    <w14:schemeClr w14:val="tx1"/>
                  </w14:solidFill>
                </w14:textFill>
              </w:rPr>
              <w:t>木质音箱</w:t>
            </w:r>
            <w:r>
              <w:rPr>
                <w:rStyle w:val="8"/>
                <w:rFonts w:eastAsia="宋体"/>
                <w:color w:val="000000" w:themeColor="text1"/>
                <w:lang w:bidi="ar"/>
                <w14:textFill>
                  <w14:solidFill>
                    <w14:schemeClr w14:val="tx1"/>
                  </w14:solidFill>
                </w14:textFill>
              </w:rPr>
              <w:t>/</w:t>
            </w:r>
            <w:r>
              <w:rPr>
                <w:rStyle w:val="7"/>
                <w:rFonts w:hint="default"/>
                <w:color w:val="000000" w:themeColor="text1"/>
                <w:lang w:bidi="ar"/>
                <w14:textFill>
                  <w14:solidFill>
                    <w14:schemeClr w14:val="tx1"/>
                  </w14:solidFill>
                </w14:textFill>
              </w:rPr>
              <w:t>音量开关</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套</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1</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2310"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9</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机柜</w:t>
            </w:r>
          </w:p>
        </w:tc>
        <w:tc>
          <w:tcPr>
            <w:tcW w:w="5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图腾42</w:t>
            </w:r>
            <w:r>
              <w:rPr>
                <w:rStyle w:val="8"/>
                <w:rFonts w:eastAsia="宋体"/>
                <w:color w:val="000000" w:themeColor="text1"/>
                <w:lang w:bidi="ar"/>
                <w14:textFill>
                  <w14:solidFill>
                    <w14:schemeClr w14:val="tx1"/>
                  </w14:solidFill>
                </w14:textFill>
              </w:rPr>
              <w:t>U/</w:t>
            </w:r>
            <w:r>
              <w:rPr>
                <w:rStyle w:val="7"/>
                <w:rFonts w:hint="default"/>
                <w:color w:val="000000" w:themeColor="text1"/>
                <w:lang w:bidi="ar"/>
                <w14:textFill>
                  <w14:solidFill>
                    <w14:schemeClr w14:val="tx1"/>
                  </w14:solidFill>
                </w14:textFill>
              </w:rPr>
              <w:t>全包选用优质冷轧钢板制作，结构坚固，承载负荷大，完全能满足客户对此类机柜的需求。板材经过严格的脱脂、酸洗、防锈磷化、纯水清洗后，静电喷塑。良好的兼容性，良好的通风设计，配置有专业的散热系统和接地系统，安全可靠，能适应兼容更多的</w:t>
            </w:r>
            <w:r>
              <w:rPr>
                <w:rStyle w:val="8"/>
                <w:rFonts w:eastAsia="宋体"/>
                <w:color w:val="000000" w:themeColor="text1"/>
                <w:lang w:bidi="ar"/>
                <w14:textFill>
                  <w14:solidFill>
                    <w14:schemeClr w14:val="tx1"/>
                  </w14:solidFill>
                </w14:textFill>
              </w:rPr>
              <w:t>IT</w:t>
            </w:r>
            <w:r>
              <w:rPr>
                <w:rStyle w:val="7"/>
                <w:rFonts w:hint="default"/>
                <w:color w:val="000000" w:themeColor="text1"/>
                <w:lang w:bidi="ar"/>
                <w14:textFill>
                  <w14:solidFill>
                    <w14:schemeClr w14:val="tx1"/>
                  </w14:solidFill>
                </w14:textFill>
              </w:rPr>
              <w:t>设备；同时安装了万向脚轮和支撑脚，移动方便，安置稳固，结构坚固。配件齐全，质量可靠，上、下部走线孔配有分组盖板，前后门及侧门可容易拆装，方便工作。</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台</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lang w:bidi="ar"/>
                <w14:textFill>
                  <w14:solidFill>
                    <w14:schemeClr w14:val="tx1"/>
                  </w14:solidFill>
                </w14:textFill>
              </w:rPr>
              <w:t>1</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440"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10</w:t>
            </w:r>
          </w:p>
        </w:tc>
        <w:tc>
          <w:tcPr>
            <w:tcW w:w="0" w:type="auto"/>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辅材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接头跳线等安装辅材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bl>
    <w:p>
      <w:pPr>
        <w:rPr>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MingLiU">
    <w:panose1 w:val="02020509000000000000"/>
    <w:charset w:val="88"/>
    <w:family w:val="modern"/>
    <w:pitch w:val="default"/>
    <w:sig w:usb0="A00002FF" w:usb1="28CFFCFA" w:usb2="00000016" w:usb3="00000000" w:csb0="00100001" w:csb1="00000000"/>
  </w:font>
  <w:font w:name="华文细黑">
    <w:altName w:val="微软雅黑"/>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156"/>
    <w:rsid w:val="00164C97"/>
    <w:rsid w:val="00262226"/>
    <w:rsid w:val="006A79B6"/>
    <w:rsid w:val="00815C5F"/>
    <w:rsid w:val="00874156"/>
    <w:rsid w:val="008A73A0"/>
    <w:rsid w:val="008D493B"/>
    <w:rsid w:val="00AB743A"/>
    <w:rsid w:val="110D2BEB"/>
    <w:rsid w:val="341D298E"/>
    <w:rsid w:val="370A75B2"/>
    <w:rsid w:val="5059326C"/>
    <w:rsid w:val="5FDD5F02"/>
    <w:rsid w:val="6CB46C6D"/>
    <w:rsid w:val="71C47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font61"/>
    <w:basedOn w:val="6"/>
    <w:qFormat/>
    <w:uiPriority w:val="0"/>
    <w:rPr>
      <w:rFonts w:hint="eastAsia" w:ascii="宋体" w:hAnsi="宋体" w:eastAsia="宋体" w:cs="宋体"/>
      <w:color w:val="000000"/>
      <w:sz w:val="20"/>
      <w:szCs w:val="20"/>
      <w:u w:val="none"/>
    </w:rPr>
  </w:style>
  <w:style w:type="character" w:customStyle="1" w:styleId="8">
    <w:name w:val="font81"/>
    <w:basedOn w:val="6"/>
    <w:qFormat/>
    <w:uiPriority w:val="0"/>
    <w:rPr>
      <w:rFonts w:hint="default" w:ascii="Times New Roman" w:hAnsi="Times New Roman" w:cs="Times New Roman"/>
      <w:color w:val="000000"/>
      <w:sz w:val="20"/>
      <w:szCs w:val="20"/>
      <w:u w:val="none"/>
    </w:rPr>
  </w:style>
  <w:style w:type="character" w:customStyle="1" w:styleId="9">
    <w:name w:val="font51"/>
    <w:basedOn w:val="6"/>
    <w:qFormat/>
    <w:uiPriority w:val="0"/>
    <w:rPr>
      <w:rFonts w:ascii="Arial Unicode MS" w:hAnsi="Arial Unicode MS" w:eastAsia="Arial Unicode MS" w:cs="Arial Unicode MS"/>
      <w:color w:val="000000"/>
      <w:sz w:val="20"/>
      <w:szCs w:val="20"/>
      <w:u w:val="none"/>
    </w:rPr>
  </w:style>
  <w:style w:type="character" w:customStyle="1" w:styleId="10">
    <w:name w:val="页眉 字符"/>
    <w:basedOn w:val="6"/>
    <w:link w:val="3"/>
    <w:qFormat/>
    <w:uiPriority w:val="99"/>
    <w:rPr>
      <w:rFonts w:asciiTheme="minorHAnsi" w:hAnsiTheme="minorHAnsi" w:eastAsiaTheme="minorEastAsia" w:cstheme="minorBidi"/>
      <w:kern w:val="2"/>
      <w:sz w:val="18"/>
      <w:szCs w:val="18"/>
    </w:rPr>
  </w:style>
  <w:style w:type="character" w:customStyle="1" w:styleId="11">
    <w:name w:val="页脚 字符"/>
    <w:basedOn w:val="6"/>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554</Words>
  <Characters>3162</Characters>
  <Lines>26</Lines>
  <Paragraphs>7</Paragraphs>
  <TotalTime>1</TotalTime>
  <ScaleCrop>false</ScaleCrop>
  <LinksUpToDate>false</LinksUpToDate>
  <CharactersWithSpaces>3709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2022-04-26T07:43:00Z</dcterms:created>
  <dc:creator>Windows 用户</dc:creator>
  <cp:lastModifiedBy>蔡红兵</cp:lastModifiedBy>
  <dcterms:modified xsi:type="dcterms:W3CDTF">2022-04-26T09:24:02Z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FCB4FA47885948B184919A85B5151D74</vt:lpwstr>
  </property>
</Properties>
</file>